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00" w:type="dxa"/>
        <w:tblCellSpacing w:w="60" w:type="dxa"/>
        <w:tblInd w:w="130" w:type="dxa"/>
        <w:tblBorders>
          <w:top w:val="nil"/>
          <w:left w:val="nil"/>
          <w:bottom w:val="nil"/>
          <w:right w:val="nil"/>
          <w:insideH w:val="nil"/>
          <w:insideV w:val="nil"/>
        </w:tblBorders>
        <w:shd w:val="clear" w:color="auto" w:fill="E7F0F9"/>
        <w:tblCellMar>
          <w:left w:w="10" w:type="dxa"/>
          <w:right w:w="10" w:type="dxa"/>
        </w:tblCellMar>
        <w:tblLook w:val="0000" w:firstRow="0" w:lastRow="0" w:firstColumn="0" w:lastColumn="0" w:noHBand="0" w:noVBand="0"/>
      </w:tblPr>
      <w:tblGrid>
        <w:gridCol w:w="2254"/>
        <w:gridCol w:w="6746"/>
      </w:tblGrid>
      <w:tr w:rsidR="007A2ECE">
        <w:tblPrEx>
          <w:tblCellMar>
            <w:top w:w="0" w:type="dxa"/>
            <w:bottom w:w="0" w:type="dxa"/>
          </w:tblCellMar>
        </w:tblPrEx>
        <w:trPr>
          <w:tblCellSpacing w:w="60" w:type="dxa"/>
        </w:trPr>
        <w:tc>
          <w:tcPr>
            <w:tcW w:w="1200" w:type="pct"/>
            <w:shd w:val="clear" w:color="auto" w:fill="E7F0F9"/>
          </w:tcPr>
          <w:p w:rsidR="007A2ECE" w:rsidRDefault="00D32F5E">
            <w:pPr>
              <w:spacing w:after="0" w:line="240" w:lineRule="auto"/>
            </w:pPr>
            <w:bookmarkStart w:id="0" w:name="_GoBack"/>
            <w:bookmarkEnd w:id="0"/>
            <w:r>
              <w:rPr>
                <w:b/>
              </w:rPr>
              <w:t>RKP broj</w:t>
            </w:r>
          </w:p>
        </w:tc>
        <w:tc>
          <w:tcPr>
            <w:tcW w:w="0" w:type="auto"/>
            <w:shd w:val="clear" w:color="auto" w:fill="E7F0F9"/>
          </w:tcPr>
          <w:p w:rsidR="007A2ECE" w:rsidRDefault="00D32F5E">
            <w:pPr>
              <w:spacing w:after="0" w:line="240" w:lineRule="auto"/>
            </w:pPr>
            <w:r>
              <w:t>45902</w:t>
            </w:r>
          </w:p>
        </w:tc>
      </w:tr>
      <w:tr w:rsidR="007A2ECE">
        <w:tblPrEx>
          <w:tblCellMar>
            <w:top w:w="0" w:type="dxa"/>
            <w:bottom w:w="0" w:type="dxa"/>
          </w:tblCellMar>
        </w:tblPrEx>
        <w:trPr>
          <w:tblCellSpacing w:w="60" w:type="dxa"/>
        </w:trPr>
        <w:tc>
          <w:tcPr>
            <w:tcW w:w="1200" w:type="pct"/>
            <w:shd w:val="clear" w:color="auto" w:fill="E7F0F9"/>
          </w:tcPr>
          <w:p w:rsidR="007A2ECE" w:rsidRDefault="00D32F5E">
            <w:pPr>
              <w:spacing w:after="0" w:line="240" w:lineRule="auto"/>
            </w:pPr>
            <w:r>
              <w:rPr>
                <w:b/>
              </w:rPr>
              <w:t>Naziv obveznika</w:t>
            </w:r>
          </w:p>
        </w:tc>
        <w:tc>
          <w:tcPr>
            <w:tcW w:w="0" w:type="auto"/>
            <w:shd w:val="clear" w:color="auto" w:fill="E7F0F9"/>
          </w:tcPr>
          <w:p w:rsidR="007A2ECE" w:rsidRDefault="00D32F5E">
            <w:pPr>
              <w:spacing w:after="0" w:line="240" w:lineRule="auto"/>
            </w:pPr>
            <w:r>
              <w:t>HRVATSKA REGULATORNA AGENCIJA ZA MREŽNE DJELATNOSTI</w:t>
            </w:r>
          </w:p>
        </w:tc>
      </w:tr>
      <w:tr w:rsidR="007A2ECE">
        <w:tblPrEx>
          <w:tblCellMar>
            <w:top w:w="0" w:type="dxa"/>
            <w:bottom w:w="0" w:type="dxa"/>
          </w:tblCellMar>
        </w:tblPrEx>
        <w:trPr>
          <w:tblCellSpacing w:w="60" w:type="dxa"/>
        </w:trPr>
        <w:tc>
          <w:tcPr>
            <w:tcW w:w="1200" w:type="pct"/>
            <w:shd w:val="clear" w:color="auto" w:fill="E7F0F9"/>
          </w:tcPr>
          <w:p w:rsidR="007A2ECE" w:rsidRDefault="00D32F5E">
            <w:pPr>
              <w:spacing w:after="0" w:line="240" w:lineRule="auto"/>
            </w:pPr>
            <w:r>
              <w:rPr>
                <w:b/>
              </w:rPr>
              <w:t>Razina</w:t>
            </w:r>
          </w:p>
        </w:tc>
        <w:tc>
          <w:tcPr>
            <w:tcW w:w="0" w:type="auto"/>
            <w:shd w:val="clear" w:color="auto" w:fill="E7F0F9"/>
          </w:tcPr>
          <w:p w:rsidR="007A2ECE" w:rsidRDefault="00D32F5E">
            <w:pPr>
              <w:spacing w:after="0" w:line="240" w:lineRule="auto"/>
            </w:pPr>
            <w:r>
              <w:t>11</w:t>
            </w:r>
          </w:p>
        </w:tc>
      </w:tr>
    </w:tbl>
    <w:p w:rsidR="007A2ECE" w:rsidRDefault="00D32F5E">
      <w:r>
        <w:br/>
      </w:r>
    </w:p>
    <w:p w:rsidR="007A2ECE" w:rsidRDefault="00D32F5E">
      <w:pPr>
        <w:spacing w:line="240" w:lineRule="auto"/>
        <w:jc w:val="center"/>
      </w:pPr>
      <w:r>
        <w:rPr>
          <w:b/>
          <w:sz w:val="28"/>
        </w:rPr>
        <w:t>BILJEŠKE UZ FINANCIJSKE IZVJEŠTAJE</w:t>
      </w:r>
    </w:p>
    <w:p w:rsidR="007A2ECE" w:rsidRDefault="00D32F5E">
      <w:pPr>
        <w:spacing w:line="240" w:lineRule="auto"/>
        <w:jc w:val="center"/>
      </w:pPr>
      <w:r>
        <w:rPr>
          <w:b/>
          <w:sz w:val="28"/>
        </w:rPr>
        <w:t>ZA RAZDOBLJE</w:t>
      </w:r>
    </w:p>
    <w:p w:rsidR="007A2ECE" w:rsidRDefault="00D32F5E">
      <w:pPr>
        <w:spacing w:line="240" w:lineRule="auto"/>
        <w:jc w:val="center"/>
      </w:pPr>
      <w:r>
        <w:rPr>
          <w:b/>
          <w:sz w:val="28"/>
        </w:rPr>
        <w:t>I - XII 2025.</w:t>
      </w:r>
    </w:p>
    <w:p w:rsidR="007A2ECE" w:rsidRDefault="007A2ECE"/>
    <w:p w:rsidR="007A2ECE" w:rsidRDefault="00D32F5E">
      <w:pPr>
        <w:keepNext/>
        <w:spacing w:line="240" w:lineRule="auto"/>
        <w:jc w:val="center"/>
      </w:pPr>
      <w:r>
        <w:rPr>
          <w:b/>
          <w:sz w:val="28"/>
        </w:rPr>
        <w:t>Izvještaj o prihodima i rashodima, primicima i izdacima</w:t>
      </w:r>
    </w:p>
    <w:p w:rsidR="007A2ECE" w:rsidRDefault="00D32F5E">
      <w:pPr>
        <w:keepNext/>
        <w:spacing w:line="240" w:lineRule="auto"/>
        <w:jc w:val="center"/>
      </w:pPr>
      <w:r>
        <w:rPr>
          <w:sz w:val="28"/>
        </w:rPr>
        <w:t>Bilješka 1.</w:t>
      </w:r>
    </w:p>
    <w:tbl>
      <w:tblPr>
        <w:tblW w:w="0" w:type="auto"/>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Opis </w:t>
            </w:r>
            <w:r>
              <w:rPr>
                <w:b/>
                <w:sz w:val="18"/>
              </w:rPr>
              <w:t>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6</w:t>
            </w:r>
          </w:p>
        </w:tc>
        <w:tc>
          <w:tcPr>
            <w:tcW w:w="3180" w:type="dxa"/>
            <w:tcMar>
              <w:top w:w="0" w:type="dxa"/>
              <w:bottom w:w="0" w:type="dxa"/>
            </w:tcMar>
            <w:vAlign w:val="center"/>
          </w:tcPr>
          <w:p w:rsidR="007A2ECE" w:rsidRDefault="00D32F5E">
            <w:pPr>
              <w:keepNext/>
              <w:keepLines/>
              <w:spacing w:after="0" w:line="240" w:lineRule="auto"/>
            </w:pPr>
            <w:r>
              <w:rPr>
                <w:sz w:val="18"/>
              </w:rPr>
              <w:t>PRIHODI POSLOVANJA (šifre 61+62+63+64+65+66+67+68)</w:t>
            </w:r>
          </w:p>
        </w:tc>
        <w:tc>
          <w:tcPr>
            <w:tcW w:w="700" w:type="dxa"/>
            <w:tcMar>
              <w:top w:w="0" w:type="dxa"/>
              <w:bottom w:w="0" w:type="dxa"/>
            </w:tcMar>
            <w:vAlign w:val="center"/>
          </w:tcPr>
          <w:p w:rsidR="007A2ECE" w:rsidRDefault="00D32F5E">
            <w:pPr>
              <w:keepNext/>
              <w:keepLines/>
              <w:spacing w:after="0" w:line="240" w:lineRule="auto"/>
            </w:pPr>
            <w:r>
              <w:rPr>
                <w:sz w:val="18"/>
              </w:rPr>
              <w:t>6</w:t>
            </w:r>
          </w:p>
        </w:tc>
        <w:tc>
          <w:tcPr>
            <w:tcW w:w="1860" w:type="dxa"/>
            <w:tcMar>
              <w:top w:w="0" w:type="dxa"/>
              <w:bottom w:w="0" w:type="dxa"/>
            </w:tcMar>
            <w:vAlign w:val="center"/>
          </w:tcPr>
          <w:p w:rsidR="007A2ECE" w:rsidRDefault="00D32F5E">
            <w:pPr>
              <w:keepNext/>
              <w:keepLines/>
              <w:spacing w:after="0" w:line="240" w:lineRule="auto"/>
              <w:jc w:val="right"/>
            </w:pPr>
            <w:r>
              <w:rPr>
                <w:sz w:val="18"/>
              </w:rPr>
              <w:t>15.808.550,37</w:t>
            </w:r>
          </w:p>
        </w:tc>
        <w:tc>
          <w:tcPr>
            <w:tcW w:w="1860" w:type="dxa"/>
            <w:tcMar>
              <w:top w:w="0" w:type="dxa"/>
              <w:bottom w:w="0" w:type="dxa"/>
            </w:tcMar>
            <w:vAlign w:val="center"/>
          </w:tcPr>
          <w:p w:rsidR="007A2ECE" w:rsidRDefault="00D32F5E">
            <w:pPr>
              <w:keepNext/>
              <w:keepLines/>
              <w:spacing w:after="0" w:line="240" w:lineRule="auto"/>
              <w:jc w:val="right"/>
            </w:pPr>
            <w:r>
              <w:rPr>
                <w:sz w:val="18"/>
              </w:rPr>
              <w:t>17.032.668,67</w:t>
            </w:r>
          </w:p>
        </w:tc>
        <w:tc>
          <w:tcPr>
            <w:tcW w:w="700" w:type="dxa"/>
            <w:tcMar>
              <w:top w:w="0" w:type="dxa"/>
              <w:bottom w:w="0" w:type="dxa"/>
            </w:tcMar>
            <w:vAlign w:val="center"/>
          </w:tcPr>
          <w:p w:rsidR="007A2ECE" w:rsidRDefault="00D32F5E">
            <w:pPr>
              <w:keepNext/>
              <w:keepLines/>
              <w:spacing w:after="0" w:line="240" w:lineRule="auto"/>
              <w:jc w:val="right"/>
            </w:pPr>
            <w:r>
              <w:rPr>
                <w:sz w:val="18"/>
              </w:rPr>
              <w:t>107,7</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3</w:t>
            </w:r>
          </w:p>
        </w:tc>
        <w:tc>
          <w:tcPr>
            <w:tcW w:w="3180" w:type="dxa"/>
            <w:tcMar>
              <w:top w:w="0" w:type="dxa"/>
              <w:bottom w:w="0" w:type="dxa"/>
            </w:tcMar>
            <w:vAlign w:val="center"/>
          </w:tcPr>
          <w:p w:rsidR="007A2ECE" w:rsidRDefault="00D32F5E">
            <w:pPr>
              <w:keepNext/>
              <w:keepLines/>
              <w:spacing w:after="0" w:line="240" w:lineRule="auto"/>
            </w:pPr>
            <w:r>
              <w:rPr>
                <w:sz w:val="18"/>
              </w:rPr>
              <w:t xml:space="preserve">RASHODI POSLOVANJA (šifre </w:t>
            </w:r>
            <w:r>
              <w:rPr>
                <w:sz w:val="18"/>
              </w:rPr>
              <w:t>31+32+34+35+36+37+38)</w:t>
            </w:r>
          </w:p>
        </w:tc>
        <w:tc>
          <w:tcPr>
            <w:tcW w:w="700" w:type="dxa"/>
            <w:tcMar>
              <w:top w:w="0" w:type="dxa"/>
              <w:bottom w:w="0" w:type="dxa"/>
            </w:tcMar>
            <w:vAlign w:val="center"/>
          </w:tcPr>
          <w:p w:rsidR="007A2ECE" w:rsidRDefault="00D32F5E">
            <w:pPr>
              <w:keepNext/>
              <w:keepLines/>
              <w:spacing w:after="0" w:line="240" w:lineRule="auto"/>
            </w:pPr>
            <w:r>
              <w:rPr>
                <w:sz w:val="18"/>
              </w:rPr>
              <w:t>3</w:t>
            </w:r>
          </w:p>
        </w:tc>
        <w:tc>
          <w:tcPr>
            <w:tcW w:w="1860" w:type="dxa"/>
            <w:tcMar>
              <w:top w:w="0" w:type="dxa"/>
              <w:bottom w:w="0" w:type="dxa"/>
            </w:tcMar>
            <w:vAlign w:val="center"/>
          </w:tcPr>
          <w:p w:rsidR="007A2ECE" w:rsidRDefault="00D32F5E">
            <w:pPr>
              <w:keepNext/>
              <w:keepLines/>
              <w:spacing w:after="0" w:line="240" w:lineRule="auto"/>
              <w:jc w:val="right"/>
            </w:pPr>
            <w:r>
              <w:rPr>
                <w:sz w:val="18"/>
              </w:rPr>
              <w:t>12.706.316,82</w:t>
            </w:r>
          </w:p>
        </w:tc>
        <w:tc>
          <w:tcPr>
            <w:tcW w:w="1860" w:type="dxa"/>
            <w:tcMar>
              <w:top w:w="0" w:type="dxa"/>
              <w:bottom w:w="0" w:type="dxa"/>
            </w:tcMar>
            <w:vAlign w:val="center"/>
          </w:tcPr>
          <w:p w:rsidR="007A2ECE" w:rsidRDefault="00D32F5E">
            <w:pPr>
              <w:keepNext/>
              <w:keepLines/>
              <w:spacing w:after="0" w:line="240" w:lineRule="auto"/>
              <w:jc w:val="right"/>
            </w:pPr>
            <w:r>
              <w:rPr>
                <w:sz w:val="18"/>
              </w:rPr>
              <w:t>14.723.384,04</w:t>
            </w:r>
          </w:p>
        </w:tc>
        <w:tc>
          <w:tcPr>
            <w:tcW w:w="700" w:type="dxa"/>
            <w:tcMar>
              <w:top w:w="0" w:type="dxa"/>
              <w:bottom w:w="0" w:type="dxa"/>
            </w:tcMar>
            <w:vAlign w:val="center"/>
          </w:tcPr>
          <w:p w:rsidR="007A2ECE" w:rsidRDefault="00D32F5E">
            <w:pPr>
              <w:keepNext/>
              <w:keepLines/>
              <w:spacing w:after="0" w:line="240" w:lineRule="auto"/>
              <w:jc w:val="right"/>
            </w:pPr>
            <w:r>
              <w:rPr>
                <w:sz w:val="18"/>
              </w:rPr>
              <w:t>115,9</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7A2ECE">
            <w:pPr>
              <w:keepNext/>
              <w:keepLines/>
              <w:spacing w:after="0" w:line="240" w:lineRule="auto"/>
            </w:pPr>
          </w:p>
        </w:tc>
        <w:tc>
          <w:tcPr>
            <w:tcW w:w="3180" w:type="dxa"/>
            <w:tcMar>
              <w:top w:w="0" w:type="dxa"/>
              <w:bottom w:w="0" w:type="dxa"/>
            </w:tcMar>
            <w:vAlign w:val="center"/>
          </w:tcPr>
          <w:p w:rsidR="007A2ECE" w:rsidRDefault="00D32F5E">
            <w:pPr>
              <w:keepNext/>
              <w:keepLines/>
              <w:spacing w:after="0" w:line="240" w:lineRule="auto"/>
            </w:pPr>
            <w:r>
              <w:rPr>
                <w:b/>
                <w:sz w:val="18"/>
              </w:rPr>
              <w:t>VIŠAK PRIHODA POSLOVANJA (šifre 6-Z005)</w:t>
            </w:r>
          </w:p>
        </w:tc>
        <w:tc>
          <w:tcPr>
            <w:tcW w:w="700" w:type="dxa"/>
            <w:tcMar>
              <w:top w:w="0" w:type="dxa"/>
              <w:bottom w:w="0" w:type="dxa"/>
            </w:tcMar>
            <w:vAlign w:val="center"/>
          </w:tcPr>
          <w:p w:rsidR="007A2ECE" w:rsidRDefault="00D32F5E">
            <w:pPr>
              <w:keepNext/>
              <w:keepLines/>
              <w:spacing w:after="0" w:line="240" w:lineRule="auto"/>
            </w:pPr>
            <w:r>
              <w:rPr>
                <w:b/>
                <w:sz w:val="18"/>
              </w:rPr>
              <w:t>X001</w:t>
            </w:r>
          </w:p>
        </w:tc>
        <w:tc>
          <w:tcPr>
            <w:tcW w:w="1860" w:type="dxa"/>
            <w:tcMar>
              <w:top w:w="0" w:type="dxa"/>
              <w:bottom w:w="0" w:type="dxa"/>
            </w:tcMar>
            <w:vAlign w:val="center"/>
          </w:tcPr>
          <w:p w:rsidR="007A2ECE" w:rsidRDefault="00D32F5E">
            <w:pPr>
              <w:keepNext/>
              <w:keepLines/>
              <w:spacing w:after="0" w:line="240" w:lineRule="auto"/>
              <w:jc w:val="right"/>
            </w:pPr>
            <w:r>
              <w:rPr>
                <w:b/>
                <w:sz w:val="18"/>
              </w:rPr>
              <w:t>3.102.233,55</w:t>
            </w:r>
          </w:p>
        </w:tc>
        <w:tc>
          <w:tcPr>
            <w:tcW w:w="1860" w:type="dxa"/>
            <w:tcMar>
              <w:top w:w="0" w:type="dxa"/>
              <w:bottom w:w="0" w:type="dxa"/>
            </w:tcMar>
            <w:vAlign w:val="center"/>
          </w:tcPr>
          <w:p w:rsidR="007A2ECE" w:rsidRDefault="00D32F5E">
            <w:pPr>
              <w:keepNext/>
              <w:keepLines/>
              <w:spacing w:after="0" w:line="240" w:lineRule="auto"/>
              <w:jc w:val="right"/>
            </w:pPr>
            <w:r>
              <w:rPr>
                <w:b/>
                <w:sz w:val="18"/>
              </w:rPr>
              <w:t>2.309.284,63</w:t>
            </w:r>
          </w:p>
        </w:tc>
        <w:tc>
          <w:tcPr>
            <w:tcW w:w="700" w:type="dxa"/>
            <w:tcMar>
              <w:top w:w="0" w:type="dxa"/>
              <w:bottom w:w="0" w:type="dxa"/>
            </w:tcMar>
            <w:vAlign w:val="center"/>
          </w:tcPr>
          <w:p w:rsidR="007A2ECE" w:rsidRDefault="00D32F5E">
            <w:pPr>
              <w:keepNext/>
              <w:keepLines/>
              <w:spacing w:after="0" w:line="240" w:lineRule="auto"/>
              <w:jc w:val="right"/>
            </w:pPr>
            <w:r>
              <w:rPr>
                <w:b/>
                <w:sz w:val="18"/>
              </w:rPr>
              <w:t>74,4</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7</w:t>
            </w:r>
          </w:p>
        </w:tc>
        <w:tc>
          <w:tcPr>
            <w:tcW w:w="3180" w:type="dxa"/>
            <w:tcMar>
              <w:top w:w="0" w:type="dxa"/>
              <w:bottom w:w="0" w:type="dxa"/>
            </w:tcMar>
            <w:vAlign w:val="center"/>
          </w:tcPr>
          <w:p w:rsidR="007A2ECE" w:rsidRDefault="00D32F5E">
            <w:pPr>
              <w:keepNext/>
              <w:keepLines/>
              <w:spacing w:after="0" w:line="240" w:lineRule="auto"/>
            </w:pPr>
            <w:r>
              <w:rPr>
                <w:sz w:val="18"/>
              </w:rPr>
              <w:t>Prihodi od prodaje nefinancijske imovine (šifre 71+72+73+74)</w:t>
            </w:r>
          </w:p>
        </w:tc>
        <w:tc>
          <w:tcPr>
            <w:tcW w:w="700" w:type="dxa"/>
            <w:tcMar>
              <w:top w:w="0" w:type="dxa"/>
              <w:bottom w:w="0" w:type="dxa"/>
            </w:tcMar>
            <w:vAlign w:val="center"/>
          </w:tcPr>
          <w:p w:rsidR="007A2ECE" w:rsidRDefault="00D32F5E">
            <w:pPr>
              <w:keepNext/>
              <w:keepLines/>
              <w:spacing w:after="0" w:line="240" w:lineRule="auto"/>
            </w:pPr>
            <w:r>
              <w:rPr>
                <w:sz w:val="18"/>
              </w:rPr>
              <w:t>7</w:t>
            </w:r>
          </w:p>
        </w:tc>
        <w:tc>
          <w:tcPr>
            <w:tcW w:w="1860" w:type="dxa"/>
            <w:tcMar>
              <w:top w:w="0" w:type="dxa"/>
              <w:bottom w:w="0" w:type="dxa"/>
            </w:tcMar>
            <w:vAlign w:val="center"/>
          </w:tcPr>
          <w:p w:rsidR="007A2ECE" w:rsidRDefault="00D32F5E">
            <w:pPr>
              <w:keepNext/>
              <w:keepLines/>
              <w:spacing w:after="0" w:line="240" w:lineRule="auto"/>
              <w:jc w:val="right"/>
            </w:pPr>
            <w:r>
              <w:rPr>
                <w:sz w:val="18"/>
              </w:rPr>
              <w:t>112.213,12</w:t>
            </w:r>
          </w:p>
        </w:tc>
        <w:tc>
          <w:tcPr>
            <w:tcW w:w="1860" w:type="dxa"/>
            <w:tcMar>
              <w:top w:w="0" w:type="dxa"/>
              <w:bottom w:w="0" w:type="dxa"/>
            </w:tcMar>
            <w:vAlign w:val="center"/>
          </w:tcPr>
          <w:p w:rsidR="007A2ECE" w:rsidRDefault="00D32F5E">
            <w:pPr>
              <w:keepNext/>
              <w:keepLines/>
              <w:spacing w:after="0" w:line="240" w:lineRule="auto"/>
              <w:jc w:val="right"/>
            </w:pPr>
            <w:r>
              <w:rPr>
                <w:sz w:val="18"/>
              </w:rPr>
              <w:t>0,00</w:t>
            </w:r>
          </w:p>
        </w:tc>
        <w:tc>
          <w:tcPr>
            <w:tcW w:w="700" w:type="dxa"/>
            <w:tcMar>
              <w:top w:w="0" w:type="dxa"/>
              <w:bottom w:w="0" w:type="dxa"/>
            </w:tcMar>
            <w:vAlign w:val="center"/>
          </w:tcPr>
          <w:p w:rsidR="007A2ECE" w:rsidRDefault="00D32F5E">
            <w:pPr>
              <w:keepNext/>
              <w:keepLines/>
              <w:spacing w:after="0" w:line="240" w:lineRule="auto"/>
              <w:jc w:val="right"/>
            </w:pPr>
            <w:r>
              <w:rPr>
                <w:sz w:val="18"/>
              </w:rPr>
              <w:t>0</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4</w:t>
            </w:r>
          </w:p>
        </w:tc>
        <w:tc>
          <w:tcPr>
            <w:tcW w:w="3180" w:type="dxa"/>
            <w:tcMar>
              <w:top w:w="0" w:type="dxa"/>
              <w:bottom w:w="0" w:type="dxa"/>
            </w:tcMar>
            <w:vAlign w:val="center"/>
          </w:tcPr>
          <w:p w:rsidR="007A2ECE" w:rsidRDefault="00D32F5E">
            <w:pPr>
              <w:keepNext/>
              <w:keepLines/>
              <w:spacing w:after="0" w:line="240" w:lineRule="auto"/>
            </w:pPr>
            <w:r>
              <w:rPr>
                <w:sz w:val="18"/>
              </w:rPr>
              <w:t xml:space="preserve">Rashodi za nabavu nefinancijske </w:t>
            </w:r>
            <w:r>
              <w:rPr>
                <w:sz w:val="18"/>
              </w:rPr>
              <w:t>imovine (šifre 41+42+43+44+45)</w:t>
            </w:r>
          </w:p>
        </w:tc>
        <w:tc>
          <w:tcPr>
            <w:tcW w:w="700" w:type="dxa"/>
            <w:tcMar>
              <w:top w:w="0" w:type="dxa"/>
              <w:bottom w:w="0" w:type="dxa"/>
            </w:tcMar>
            <w:vAlign w:val="center"/>
          </w:tcPr>
          <w:p w:rsidR="007A2ECE" w:rsidRDefault="00D32F5E">
            <w:pPr>
              <w:keepNext/>
              <w:keepLines/>
              <w:spacing w:after="0" w:line="240" w:lineRule="auto"/>
            </w:pPr>
            <w:r>
              <w:rPr>
                <w:sz w:val="18"/>
              </w:rPr>
              <w:t>4</w:t>
            </w:r>
          </w:p>
        </w:tc>
        <w:tc>
          <w:tcPr>
            <w:tcW w:w="1860" w:type="dxa"/>
            <w:tcMar>
              <w:top w:w="0" w:type="dxa"/>
              <w:bottom w:w="0" w:type="dxa"/>
            </w:tcMar>
            <w:vAlign w:val="center"/>
          </w:tcPr>
          <w:p w:rsidR="007A2ECE" w:rsidRDefault="00D32F5E">
            <w:pPr>
              <w:keepNext/>
              <w:keepLines/>
              <w:spacing w:after="0" w:line="240" w:lineRule="auto"/>
              <w:jc w:val="right"/>
            </w:pPr>
            <w:r>
              <w:rPr>
                <w:sz w:val="18"/>
              </w:rPr>
              <w:t>1.161.507,14</w:t>
            </w:r>
          </w:p>
        </w:tc>
        <w:tc>
          <w:tcPr>
            <w:tcW w:w="1860" w:type="dxa"/>
            <w:tcMar>
              <w:top w:w="0" w:type="dxa"/>
              <w:bottom w:w="0" w:type="dxa"/>
            </w:tcMar>
            <w:vAlign w:val="center"/>
          </w:tcPr>
          <w:p w:rsidR="007A2ECE" w:rsidRDefault="00D32F5E">
            <w:pPr>
              <w:keepNext/>
              <w:keepLines/>
              <w:spacing w:after="0" w:line="240" w:lineRule="auto"/>
              <w:jc w:val="right"/>
            </w:pPr>
            <w:r>
              <w:rPr>
                <w:sz w:val="18"/>
              </w:rPr>
              <w:t>865.226,37</w:t>
            </w:r>
          </w:p>
        </w:tc>
        <w:tc>
          <w:tcPr>
            <w:tcW w:w="700" w:type="dxa"/>
            <w:tcMar>
              <w:top w:w="0" w:type="dxa"/>
              <w:bottom w:w="0" w:type="dxa"/>
            </w:tcMar>
            <w:vAlign w:val="center"/>
          </w:tcPr>
          <w:p w:rsidR="007A2ECE" w:rsidRDefault="00D32F5E">
            <w:pPr>
              <w:keepNext/>
              <w:keepLines/>
              <w:spacing w:after="0" w:line="240" w:lineRule="auto"/>
              <w:jc w:val="right"/>
            </w:pPr>
            <w:r>
              <w:rPr>
                <w:sz w:val="18"/>
              </w:rPr>
              <w:t>74,5</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7A2ECE">
            <w:pPr>
              <w:keepNext/>
              <w:keepLines/>
              <w:spacing w:after="0" w:line="240" w:lineRule="auto"/>
            </w:pPr>
          </w:p>
        </w:tc>
        <w:tc>
          <w:tcPr>
            <w:tcW w:w="3180" w:type="dxa"/>
            <w:tcMar>
              <w:top w:w="0" w:type="dxa"/>
              <w:bottom w:w="0" w:type="dxa"/>
            </w:tcMar>
            <w:vAlign w:val="center"/>
          </w:tcPr>
          <w:p w:rsidR="007A2ECE" w:rsidRDefault="00D32F5E">
            <w:pPr>
              <w:keepNext/>
              <w:keepLines/>
              <w:spacing w:after="0" w:line="240" w:lineRule="auto"/>
            </w:pPr>
            <w:r>
              <w:rPr>
                <w:b/>
                <w:sz w:val="18"/>
              </w:rPr>
              <w:t>MANJAK PRIHODA OD NEFINANCIJSKE IMOVINE (šifre 4-7)</w:t>
            </w:r>
          </w:p>
        </w:tc>
        <w:tc>
          <w:tcPr>
            <w:tcW w:w="700" w:type="dxa"/>
            <w:tcMar>
              <w:top w:w="0" w:type="dxa"/>
              <w:bottom w:w="0" w:type="dxa"/>
            </w:tcMar>
            <w:vAlign w:val="center"/>
          </w:tcPr>
          <w:p w:rsidR="007A2ECE" w:rsidRDefault="00D32F5E">
            <w:pPr>
              <w:keepNext/>
              <w:keepLines/>
              <w:spacing w:after="0" w:line="240" w:lineRule="auto"/>
            </w:pPr>
            <w:r>
              <w:rPr>
                <w:b/>
                <w:sz w:val="18"/>
              </w:rPr>
              <w:t>Y002</w:t>
            </w:r>
          </w:p>
        </w:tc>
        <w:tc>
          <w:tcPr>
            <w:tcW w:w="1860" w:type="dxa"/>
            <w:tcMar>
              <w:top w:w="0" w:type="dxa"/>
              <w:bottom w:w="0" w:type="dxa"/>
            </w:tcMar>
            <w:vAlign w:val="center"/>
          </w:tcPr>
          <w:p w:rsidR="007A2ECE" w:rsidRDefault="00D32F5E">
            <w:pPr>
              <w:keepNext/>
              <w:keepLines/>
              <w:spacing w:after="0" w:line="240" w:lineRule="auto"/>
              <w:jc w:val="right"/>
            </w:pPr>
            <w:r>
              <w:rPr>
                <w:b/>
                <w:sz w:val="18"/>
              </w:rPr>
              <w:t>1.049.294,02</w:t>
            </w:r>
          </w:p>
        </w:tc>
        <w:tc>
          <w:tcPr>
            <w:tcW w:w="1860" w:type="dxa"/>
            <w:tcMar>
              <w:top w:w="0" w:type="dxa"/>
              <w:bottom w:w="0" w:type="dxa"/>
            </w:tcMar>
            <w:vAlign w:val="center"/>
          </w:tcPr>
          <w:p w:rsidR="007A2ECE" w:rsidRDefault="00D32F5E">
            <w:pPr>
              <w:keepNext/>
              <w:keepLines/>
              <w:spacing w:after="0" w:line="240" w:lineRule="auto"/>
              <w:jc w:val="right"/>
            </w:pPr>
            <w:r>
              <w:rPr>
                <w:b/>
                <w:sz w:val="18"/>
              </w:rPr>
              <w:t>865.226,37</w:t>
            </w:r>
          </w:p>
        </w:tc>
        <w:tc>
          <w:tcPr>
            <w:tcW w:w="700" w:type="dxa"/>
            <w:tcMar>
              <w:top w:w="0" w:type="dxa"/>
              <w:bottom w:w="0" w:type="dxa"/>
            </w:tcMar>
            <w:vAlign w:val="center"/>
          </w:tcPr>
          <w:p w:rsidR="007A2ECE" w:rsidRDefault="00D32F5E">
            <w:pPr>
              <w:keepNext/>
              <w:keepLines/>
              <w:spacing w:after="0" w:line="240" w:lineRule="auto"/>
              <w:jc w:val="right"/>
            </w:pPr>
            <w:r>
              <w:rPr>
                <w:b/>
                <w:sz w:val="18"/>
              </w:rPr>
              <w:t>82,5</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8</w:t>
            </w:r>
          </w:p>
        </w:tc>
        <w:tc>
          <w:tcPr>
            <w:tcW w:w="3180" w:type="dxa"/>
            <w:tcMar>
              <w:top w:w="0" w:type="dxa"/>
              <w:bottom w:w="0" w:type="dxa"/>
            </w:tcMar>
            <w:vAlign w:val="center"/>
          </w:tcPr>
          <w:p w:rsidR="007A2ECE" w:rsidRDefault="00D32F5E">
            <w:pPr>
              <w:keepNext/>
              <w:keepLines/>
              <w:spacing w:after="0" w:line="240" w:lineRule="auto"/>
            </w:pPr>
            <w:r>
              <w:rPr>
                <w:sz w:val="18"/>
              </w:rPr>
              <w:t>Primici od financijske imovine i zaduživanja (šifre 81+82+83+84+85)</w:t>
            </w:r>
          </w:p>
        </w:tc>
        <w:tc>
          <w:tcPr>
            <w:tcW w:w="700" w:type="dxa"/>
            <w:tcMar>
              <w:top w:w="0" w:type="dxa"/>
              <w:bottom w:w="0" w:type="dxa"/>
            </w:tcMar>
            <w:vAlign w:val="center"/>
          </w:tcPr>
          <w:p w:rsidR="007A2ECE" w:rsidRDefault="00D32F5E">
            <w:pPr>
              <w:keepNext/>
              <w:keepLines/>
              <w:spacing w:after="0" w:line="240" w:lineRule="auto"/>
            </w:pPr>
            <w:r>
              <w:rPr>
                <w:sz w:val="18"/>
              </w:rPr>
              <w:t>8</w:t>
            </w:r>
          </w:p>
        </w:tc>
        <w:tc>
          <w:tcPr>
            <w:tcW w:w="1860" w:type="dxa"/>
            <w:tcMar>
              <w:top w:w="0" w:type="dxa"/>
              <w:bottom w:w="0" w:type="dxa"/>
            </w:tcMar>
            <w:vAlign w:val="center"/>
          </w:tcPr>
          <w:p w:rsidR="007A2ECE" w:rsidRDefault="00D32F5E">
            <w:pPr>
              <w:keepNext/>
              <w:keepLines/>
              <w:spacing w:after="0" w:line="240" w:lineRule="auto"/>
              <w:jc w:val="right"/>
            </w:pPr>
            <w:r>
              <w:rPr>
                <w:sz w:val="18"/>
              </w:rPr>
              <w:t>0,00</w:t>
            </w:r>
          </w:p>
        </w:tc>
        <w:tc>
          <w:tcPr>
            <w:tcW w:w="1860" w:type="dxa"/>
            <w:tcMar>
              <w:top w:w="0" w:type="dxa"/>
              <w:bottom w:w="0" w:type="dxa"/>
            </w:tcMar>
            <w:vAlign w:val="center"/>
          </w:tcPr>
          <w:p w:rsidR="007A2ECE" w:rsidRDefault="00D32F5E">
            <w:pPr>
              <w:keepNext/>
              <w:keepLines/>
              <w:spacing w:after="0" w:line="240" w:lineRule="auto"/>
              <w:jc w:val="right"/>
            </w:pPr>
            <w:r>
              <w:rPr>
                <w:sz w:val="18"/>
              </w:rPr>
              <w:t>0,00</w:t>
            </w:r>
          </w:p>
        </w:tc>
        <w:tc>
          <w:tcPr>
            <w:tcW w:w="700" w:type="dxa"/>
            <w:tcMar>
              <w:top w:w="0" w:type="dxa"/>
              <w:bottom w:w="0" w:type="dxa"/>
            </w:tcMar>
            <w:vAlign w:val="center"/>
          </w:tcPr>
          <w:p w:rsidR="007A2ECE" w:rsidRDefault="00D32F5E">
            <w:pPr>
              <w:keepNext/>
              <w:keepLines/>
              <w:spacing w:after="0" w:line="240" w:lineRule="auto"/>
              <w:jc w:val="right"/>
            </w:pPr>
            <w:r>
              <w:rPr>
                <w:sz w:val="18"/>
              </w:rPr>
              <w:t>-</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5</w:t>
            </w:r>
          </w:p>
        </w:tc>
        <w:tc>
          <w:tcPr>
            <w:tcW w:w="3180" w:type="dxa"/>
            <w:tcMar>
              <w:top w:w="0" w:type="dxa"/>
              <w:bottom w:w="0" w:type="dxa"/>
            </w:tcMar>
            <w:vAlign w:val="center"/>
          </w:tcPr>
          <w:p w:rsidR="007A2ECE" w:rsidRDefault="00D32F5E">
            <w:pPr>
              <w:keepNext/>
              <w:keepLines/>
              <w:spacing w:after="0" w:line="240" w:lineRule="auto"/>
            </w:pPr>
            <w:r>
              <w:rPr>
                <w:sz w:val="18"/>
              </w:rPr>
              <w:t xml:space="preserve">Izdaci za </w:t>
            </w:r>
            <w:r>
              <w:rPr>
                <w:sz w:val="18"/>
              </w:rPr>
              <w:t>financijsku imovinu i otplate zajmova (šifre 51+52+53+54+55)</w:t>
            </w:r>
          </w:p>
        </w:tc>
        <w:tc>
          <w:tcPr>
            <w:tcW w:w="700" w:type="dxa"/>
            <w:tcMar>
              <w:top w:w="0" w:type="dxa"/>
              <w:bottom w:w="0" w:type="dxa"/>
            </w:tcMar>
            <w:vAlign w:val="center"/>
          </w:tcPr>
          <w:p w:rsidR="007A2ECE" w:rsidRDefault="00D32F5E">
            <w:pPr>
              <w:keepNext/>
              <w:keepLines/>
              <w:spacing w:after="0" w:line="240" w:lineRule="auto"/>
            </w:pPr>
            <w:r>
              <w:rPr>
                <w:sz w:val="18"/>
              </w:rPr>
              <w:t>5</w:t>
            </w:r>
          </w:p>
        </w:tc>
        <w:tc>
          <w:tcPr>
            <w:tcW w:w="1860" w:type="dxa"/>
            <w:tcMar>
              <w:top w:w="0" w:type="dxa"/>
              <w:bottom w:w="0" w:type="dxa"/>
            </w:tcMar>
            <w:vAlign w:val="center"/>
          </w:tcPr>
          <w:p w:rsidR="007A2ECE" w:rsidRDefault="00D32F5E">
            <w:pPr>
              <w:keepNext/>
              <w:keepLines/>
              <w:spacing w:after="0" w:line="240" w:lineRule="auto"/>
              <w:jc w:val="right"/>
            </w:pPr>
            <w:r>
              <w:rPr>
                <w:sz w:val="18"/>
              </w:rPr>
              <w:t>0,00</w:t>
            </w:r>
          </w:p>
        </w:tc>
        <w:tc>
          <w:tcPr>
            <w:tcW w:w="1860" w:type="dxa"/>
            <w:tcMar>
              <w:top w:w="0" w:type="dxa"/>
              <w:bottom w:w="0" w:type="dxa"/>
            </w:tcMar>
            <w:vAlign w:val="center"/>
          </w:tcPr>
          <w:p w:rsidR="007A2ECE" w:rsidRDefault="00D32F5E">
            <w:pPr>
              <w:keepNext/>
              <w:keepLines/>
              <w:spacing w:after="0" w:line="240" w:lineRule="auto"/>
              <w:jc w:val="right"/>
            </w:pPr>
            <w:r>
              <w:rPr>
                <w:sz w:val="18"/>
              </w:rPr>
              <w:t>0,00</w:t>
            </w:r>
          </w:p>
        </w:tc>
        <w:tc>
          <w:tcPr>
            <w:tcW w:w="700" w:type="dxa"/>
            <w:tcMar>
              <w:top w:w="0" w:type="dxa"/>
              <w:bottom w:w="0" w:type="dxa"/>
            </w:tcMar>
            <w:vAlign w:val="center"/>
          </w:tcPr>
          <w:p w:rsidR="007A2ECE" w:rsidRDefault="00D32F5E">
            <w:pPr>
              <w:keepNext/>
              <w:keepLines/>
              <w:spacing w:after="0" w:line="240" w:lineRule="auto"/>
              <w:jc w:val="right"/>
            </w:pPr>
            <w:r>
              <w:rPr>
                <w:sz w:val="18"/>
              </w:rPr>
              <w:t>-</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7A2ECE">
            <w:pPr>
              <w:keepNext/>
              <w:keepLines/>
              <w:spacing w:after="0" w:line="240" w:lineRule="auto"/>
            </w:pPr>
          </w:p>
        </w:tc>
        <w:tc>
          <w:tcPr>
            <w:tcW w:w="3180" w:type="dxa"/>
            <w:tcMar>
              <w:top w:w="0" w:type="dxa"/>
              <w:bottom w:w="0" w:type="dxa"/>
            </w:tcMar>
            <w:vAlign w:val="center"/>
          </w:tcPr>
          <w:p w:rsidR="007A2ECE" w:rsidRDefault="00D32F5E">
            <w:pPr>
              <w:keepNext/>
              <w:keepLines/>
              <w:spacing w:after="0" w:line="240" w:lineRule="auto"/>
            </w:pPr>
            <w:r>
              <w:rPr>
                <w:b/>
                <w:sz w:val="18"/>
              </w:rPr>
              <w:t>VIŠAK/MANJAK PRIMITAKA OD FINANCIJSKE IMOVINE I ZADUŽIVANJA (šifre 8-5, 5-8)</w:t>
            </w:r>
          </w:p>
        </w:tc>
        <w:tc>
          <w:tcPr>
            <w:tcW w:w="700" w:type="dxa"/>
            <w:tcMar>
              <w:top w:w="0" w:type="dxa"/>
              <w:bottom w:w="0" w:type="dxa"/>
            </w:tcMar>
            <w:vAlign w:val="center"/>
          </w:tcPr>
          <w:p w:rsidR="007A2ECE" w:rsidRDefault="00D32F5E">
            <w:pPr>
              <w:keepNext/>
              <w:keepLines/>
              <w:spacing w:after="0" w:line="240" w:lineRule="auto"/>
            </w:pPr>
            <w:r>
              <w:rPr>
                <w:b/>
                <w:sz w:val="18"/>
              </w:rPr>
              <w:t>X003, Y003</w:t>
            </w:r>
          </w:p>
        </w:tc>
        <w:tc>
          <w:tcPr>
            <w:tcW w:w="1860" w:type="dxa"/>
            <w:tcMar>
              <w:top w:w="0" w:type="dxa"/>
              <w:bottom w:w="0" w:type="dxa"/>
            </w:tcMar>
            <w:vAlign w:val="center"/>
          </w:tcPr>
          <w:p w:rsidR="007A2ECE" w:rsidRDefault="00D32F5E">
            <w:pPr>
              <w:keepNext/>
              <w:keepLines/>
              <w:spacing w:after="0" w:line="240" w:lineRule="auto"/>
              <w:jc w:val="right"/>
            </w:pPr>
            <w:r>
              <w:rPr>
                <w:b/>
                <w:sz w:val="18"/>
              </w:rPr>
              <w:t>0,00</w:t>
            </w:r>
          </w:p>
        </w:tc>
        <w:tc>
          <w:tcPr>
            <w:tcW w:w="1860" w:type="dxa"/>
            <w:tcMar>
              <w:top w:w="0" w:type="dxa"/>
              <w:bottom w:w="0" w:type="dxa"/>
            </w:tcMar>
            <w:vAlign w:val="center"/>
          </w:tcPr>
          <w:p w:rsidR="007A2ECE" w:rsidRDefault="00D32F5E">
            <w:pPr>
              <w:keepNext/>
              <w:keepLines/>
              <w:spacing w:after="0" w:line="240" w:lineRule="auto"/>
              <w:jc w:val="right"/>
            </w:pPr>
            <w:r>
              <w:rPr>
                <w:b/>
                <w:sz w:val="18"/>
              </w:rPr>
              <w:t>0,00</w:t>
            </w:r>
          </w:p>
        </w:tc>
        <w:tc>
          <w:tcPr>
            <w:tcW w:w="700" w:type="dxa"/>
            <w:tcMar>
              <w:top w:w="0" w:type="dxa"/>
              <w:bottom w:w="0" w:type="dxa"/>
            </w:tcMar>
            <w:vAlign w:val="center"/>
          </w:tcPr>
          <w:p w:rsidR="007A2ECE" w:rsidRDefault="00D32F5E">
            <w:pPr>
              <w:keepNext/>
              <w:keepLines/>
              <w:spacing w:after="0" w:line="240" w:lineRule="auto"/>
              <w:jc w:val="right"/>
            </w:pPr>
            <w:r>
              <w:rPr>
                <w:b/>
                <w:sz w:val="18"/>
              </w:rPr>
              <w:t>-</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7A2ECE">
            <w:pPr>
              <w:keepNext/>
              <w:keepLines/>
              <w:spacing w:after="0" w:line="240" w:lineRule="auto"/>
            </w:pPr>
          </w:p>
        </w:tc>
        <w:tc>
          <w:tcPr>
            <w:tcW w:w="3180" w:type="dxa"/>
            <w:tcMar>
              <w:top w:w="0" w:type="dxa"/>
              <w:bottom w:w="0" w:type="dxa"/>
            </w:tcMar>
            <w:vAlign w:val="center"/>
          </w:tcPr>
          <w:p w:rsidR="007A2ECE" w:rsidRDefault="00D32F5E">
            <w:pPr>
              <w:keepNext/>
              <w:keepLines/>
              <w:spacing w:after="0" w:line="240" w:lineRule="auto"/>
            </w:pPr>
            <w:r>
              <w:rPr>
                <w:b/>
                <w:sz w:val="18"/>
              </w:rPr>
              <w:t>VIŠAK PRIHODA I PRIMITAKA (šifre X678-Y345)</w:t>
            </w:r>
          </w:p>
        </w:tc>
        <w:tc>
          <w:tcPr>
            <w:tcW w:w="700" w:type="dxa"/>
            <w:tcMar>
              <w:top w:w="0" w:type="dxa"/>
              <w:bottom w:w="0" w:type="dxa"/>
            </w:tcMar>
            <w:vAlign w:val="center"/>
          </w:tcPr>
          <w:p w:rsidR="007A2ECE" w:rsidRDefault="00D32F5E">
            <w:pPr>
              <w:keepNext/>
              <w:keepLines/>
              <w:spacing w:after="0" w:line="240" w:lineRule="auto"/>
            </w:pPr>
            <w:r>
              <w:rPr>
                <w:b/>
                <w:sz w:val="18"/>
              </w:rPr>
              <w:t>X005</w:t>
            </w:r>
          </w:p>
        </w:tc>
        <w:tc>
          <w:tcPr>
            <w:tcW w:w="1860" w:type="dxa"/>
            <w:tcMar>
              <w:top w:w="0" w:type="dxa"/>
              <w:bottom w:w="0" w:type="dxa"/>
            </w:tcMar>
            <w:vAlign w:val="center"/>
          </w:tcPr>
          <w:p w:rsidR="007A2ECE" w:rsidRDefault="00D32F5E">
            <w:pPr>
              <w:keepNext/>
              <w:keepLines/>
              <w:spacing w:after="0" w:line="240" w:lineRule="auto"/>
              <w:jc w:val="right"/>
            </w:pPr>
            <w:r>
              <w:rPr>
                <w:b/>
                <w:sz w:val="18"/>
              </w:rPr>
              <w:t>2.052.939,53</w:t>
            </w:r>
          </w:p>
        </w:tc>
        <w:tc>
          <w:tcPr>
            <w:tcW w:w="1860" w:type="dxa"/>
            <w:tcMar>
              <w:top w:w="0" w:type="dxa"/>
              <w:bottom w:w="0" w:type="dxa"/>
            </w:tcMar>
            <w:vAlign w:val="center"/>
          </w:tcPr>
          <w:p w:rsidR="007A2ECE" w:rsidRDefault="00D32F5E">
            <w:pPr>
              <w:keepNext/>
              <w:keepLines/>
              <w:spacing w:after="0" w:line="240" w:lineRule="auto"/>
              <w:jc w:val="right"/>
            </w:pPr>
            <w:r>
              <w:rPr>
                <w:b/>
                <w:sz w:val="18"/>
              </w:rPr>
              <w:t>1.444.058,26</w:t>
            </w:r>
          </w:p>
        </w:tc>
        <w:tc>
          <w:tcPr>
            <w:tcW w:w="700" w:type="dxa"/>
            <w:tcMar>
              <w:top w:w="0" w:type="dxa"/>
              <w:bottom w:w="0" w:type="dxa"/>
            </w:tcMar>
            <w:vAlign w:val="center"/>
          </w:tcPr>
          <w:p w:rsidR="007A2ECE" w:rsidRDefault="00D32F5E">
            <w:pPr>
              <w:keepNext/>
              <w:keepLines/>
              <w:spacing w:after="0" w:line="240" w:lineRule="auto"/>
              <w:jc w:val="right"/>
            </w:pPr>
            <w:r>
              <w:rPr>
                <w:b/>
                <w:sz w:val="18"/>
              </w:rPr>
              <w:t>70,3</w:t>
            </w:r>
          </w:p>
        </w:tc>
      </w:tr>
    </w:tbl>
    <w:p w:rsidR="007A2ECE" w:rsidRDefault="007A2ECE">
      <w:pPr>
        <w:spacing w:after="0"/>
      </w:pPr>
    </w:p>
    <w:p w:rsidR="007A2ECE" w:rsidRDefault="00D32F5E">
      <w:r>
        <w:t xml:space="preserve">U razdoblju od 1. siječnja do 31. prosinca 2025. prihodi poslovanja ostvareni su u iznosu od 17.032.668,67 EUR. Najznačajnije povećanje prihoda poslovanja ostvareno je od prihoda po posebnim propisima koje čine prihodi od naknada za uporabu </w:t>
      </w:r>
      <w:proofErr w:type="spellStart"/>
      <w:r>
        <w:t>radiofrekvencij</w:t>
      </w:r>
      <w:r>
        <w:t>skog</w:t>
      </w:r>
      <w:proofErr w:type="spellEnd"/>
      <w:r>
        <w:t xml:space="preserve"> spektra, prihodi od naknada za uporabu adresa i brojeva, prihodi od naknada za obavljanje drugih poslova HAKOM-a u području elektroničkih komunikacija te prihodi od naknada za obavljanje poslova HAKOM-a u području poštanskih i željezničkih usluga. Naj</w:t>
      </w:r>
      <w:r>
        <w:t xml:space="preserve">značajnije </w:t>
      </w:r>
      <w:r>
        <w:lastRenderedPageBreak/>
        <w:t>smanjenje prihoda poslovanja bilježi se na tekućim pomoćima od institucija i tijela EU zbog manjeg broja službenih putovanja za koja su ostvarene refundacije troškova.  </w:t>
      </w:r>
    </w:p>
    <w:p w:rsidR="007A2ECE" w:rsidRDefault="00D32F5E">
      <w:r>
        <w:t>Rashodi poslovanja u razdoblju od 1. siječnja do 31. prosinca 2025. ostvare</w:t>
      </w:r>
      <w:r>
        <w:t>ni su u iznosu od 14.723.384,04 EUR te se najvećim dijelom odnose na rashode za zaposlene i materijalne rashode među kojima su najznačajniji rashodi za usluge (zakupnine za poslovni prostor, intelektualne, računalne i ostale usluge te usluge tekućeg i inve</w:t>
      </w:r>
      <w:r>
        <w:t>sticijskog održavanja). Najznačajnije povećanje rashoda evidentirano je na rashodima za zaposlene uslijed povećanja plaća. Najznačajnije smanjenje rashoda poslovanja bilježi se na rashodima za energiju zbog smanjene potrošnje.  </w:t>
      </w:r>
    </w:p>
    <w:p w:rsidR="007A2ECE" w:rsidRDefault="00D32F5E">
      <w:r>
        <w:t xml:space="preserve">U navedenom razdoblju nema </w:t>
      </w:r>
      <w:r>
        <w:t xml:space="preserve">ostvarenih prihoda od prodaje nefinancijske imovine, dok su rashodi za nabavu nefinancijske imovine ostvareni u iznosu od 865.226,37 EUR. Navedeni rashodi odnose se na nabavu mjernih uređaja za potrebe kontrole </w:t>
      </w:r>
      <w:proofErr w:type="spellStart"/>
      <w:r>
        <w:t>radiofrekvencijskog</w:t>
      </w:r>
      <w:proofErr w:type="spellEnd"/>
      <w:r>
        <w:t xml:space="preserve"> spektra, računalnih progr</w:t>
      </w:r>
      <w:r>
        <w:t xml:space="preserve">ama, komunikacijske opreme, uredske opreme i namještaja te na nadogradnju KMP-a </w:t>
      </w:r>
      <w:proofErr w:type="spellStart"/>
      <w:r>
        <w:t>Osorščica</w:t>
      </w:r>
      <w:proofErr w:type="spellEnd"/>
      <w:r>
        <w:t>, računalnih sustava i programa. </w:t>
      </w:r>
    </w:p>
    <w:p w:rsidR="007A2ECE" w:rsidRDefault="00D32F5E">
      <w:r>
        <w:t>U navedenom razdoblju nije bilo ostvarenih primitaka i izdataka od financijske imovine i zaduživanja. </w:t>
      </w:r>
    </w:p>
    <w:p w:rsidR="007A2ECE" w:rsidRDefault="00D32F5E">
      <w:r>
        <w:t xml:space="preserve">U razdoblju od 1. siječnja do </w:t>
      </w:r>
      <w:r>
        <w:t>31. prosinca 2025. ostvaren je višak prihoda poslovanja u iznosu od 2.309.284,63 EUR, manjak prihoda od nefinancijske imovine u iznosu od 865.226,37 EUR, slijedom čega je na kraju izvještajnog razdoblja ostvaren ukupan višak prihoda i primitaka u iznosu od</w:t>
      </w:r>
      <w:r>
        <w:t xml:space="preserve"> 1.444.058,26 EUR. Preneseni višak prihoda i primitaka iznosi 3.829.766,04 EUR, a čine ga višak prihoda poslovanja – preneseni u iznosu od 3.929.322,51 EUR i manjak primitaka od financijske imovine – preneseni u iznosu od 99.556,47 EUR. Višak prihoda raspo</w:t>
      </w:r>
      <w:r>
        <w:t>loživ u sljedećem razdoblju iznosi 5.273.824,30 EUR. </w:t>
      </w:r>
    </w:p>
    <w:p w:rsidR="007A2ECE" w:rsidRDefault="00D32F5E">
      <w:r>
        <w:br/>
      </w:r>
    </w:p>
    <w:p w:rsidR="007A2ECE" w:rsidRDefault="00D32F5E">
      <w:pPr>
        <w:keepNext/>
        <w:spacing w:line="240" w:lineRule="auto"/>
        <w:jc w:val="center"/>
      </w:pPr>
      <w:r>
        <w:rPr>
          <w:sz w:val="28"/>
        </w:rPr>
        <w:t>Bilješka 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63</w:t>
            </w:r>
          </w:p>
        </w:tc>
        <w:tc>
          <w:tcPr>
            <w:tcW w:w="3180" w:type="dxa"/>
            <w:tcMar>
              <w:top w:w="0" w:type="dxa"/>
              <w:bottom w:w="0" w:type="dxa"/>
            </w:tcMar>
            <w:vAlign w:val="center"/>
          </w:tcPr>
          <w:p w:rsidR="007A2ECE" w:rsidRDefault="00D32F5E">
            <w:pPr>
              <w:keepNext/>
              <w:keepLines/>
              <w:spacing w:after="0" w:line="240" w:lineRule="auto"/>
            </w:pPr>
            <w:r>
              <w:rPr>
                <w:sz w:val="18"/>
              </w:rPr>
              <w:t xml:space="preserve">Pomoći iz inozemstva i od </w:t>
            </w:r>
            <w:r>
              <w:rPr>
                <w:sz w:val="18"/>
              </w:rPr>
              <w:t>subjekata unutar općeg proračuna (šifre 631+632+633+634+635+636+637+638+639)</w:t>
            </w:r>
          </w:p>
        </w:tc>
        <w:tc>
          <w:tcPr>
            <w:tcW w:w="700" w:type="dxa"/>
            <w:tcMar>
              <w:top w:w="0" w:type="dxa"/>
              <w:bottom w:w="0" w:type="dxa"/>
            </w:tcMar>
            <w:vAlign w:val="center"/>
          </w:tcPr>
          <w:p w:rsidR="007A2ECE" w:rsidRDefault="00D32F5E">
            <w:pPr>
              <w:keepNext/>
              <w:keepLines/>
              <w:spacing w:after="0" w:line="240" w:lineRule="auto"/>
            </w:pPr>
            <w:r>
              <w:rPr>
                <w:sz w:val="18"/>
              </w:rPr>
              <w:t>63</w:t>
            </w:r>
          </w:p>
        </w:tc>
        <w:tc>
          <w:tcPr>
            <w:tcW w:w="1860" w:type="dxa"/>
            <w:tcMar>
              <w:top w:w="0" w:type="dxa"/>
              <w:bottom w:w="0" w:type="dxa"/>
            </w:tcMar>
            <w:vAlign w:val="center"/>
          </w:tcPr>
          <w:p w:rsidR="007A2ECE" w:rsidRDefault="00D32F5E">
            <w:pPr>
              <w:keepNext/>
              <w:keepLines/>
              <w:spacing w:after="0" w:line="240" w:lineRule="auto"/>
              <w:jc w:val="right"/>
            </w:pPr>
            <w:r>
              <w:rPr>
                <w:sz w:val="18"/>
              </w:rPr>
              <w:t>59.253,48</w:t>
            </w:r>
          </w:p>
        </w:tc>
        <w:tc>
          <w:tcPr>
            <w:tcW w:w="1860" w:type="dxa"/>
            <w:tcMar>
              <w:top w:w="0" w:type="dxa"/>
              <w:bottom w:w="0" w:type="dxa"/>
            </w:tcMar>
            <w:vAlign w:val="center"/>
          </w:tcPr>
          <w:p w:rsidR="007A2ECE" w:rsidRDefault="00D32F5E">
            <w:pPr>
              <w:keepNext/>
              <w:keepLines/>
              <w:spacing w:after="0" w:line="240" w:lineRule="auto"/>
              <w:jc w:val="right"/>
            </w:pPr>
            <w:r>
              <w:rPr>
                <w:sz w:val="18"/>
              </w:rPr>
              <w:t>42.540,26</w:t>
            </w:r>
          </w:p>
        </w:tc>
        <w:tc>
          <w:tcPr>
            <w:tcW w:w="700" w:type="dxa"/>
            <w:tcMar>
              <w:top w:w="0" w:type="dxa"/>
              <w:bottom w:w="0" w:type="dxa"/>
            </w:tcMar>
            <w:vAlign w:val="center"/>
          </w:tcPr>
          <w:p w:rsidR="007A2ECE" w:rsidRDefault="00D32F5E">
            <w:pPr>
              <w:keepNext/>
              <w:keepLines/>
              <w:spacing w:after="0" w:line="240" w:lineRule="auto"/>
              <w:jc w:val="right"/>
            </w:pPr>
            <w:r>
              <w:rPr>
                <w:sz w:val="18"/>
              </w:rPr>
              <w:t>71,8</w:t>
            </w:r>
          </w:p>
        </w:tc>
      </w:tr>
    </w:tbl>
    <w:p w:rsidR="007A2ECE" w:rsidRDefault="007A2ECE">
      <w:pPr>
        <w:spacing w:after="0"/>
      </w:pPr>
    </w:p>
    <w:p w:rsidR="007A2ECE" w:rsidRDefault="00D32F5E">
      <w:r>
        <w:t>U promatranom razdoblju 2025. Tekuće pomoći od institucija i tijela EU (6323) ostvarene su u iznosu od 42.540,26 EUR što predstavlja smanjenje u odnosu na ostvarenje u prethodnom izvještajnom razdoblju.       </w:t>
      </w:r>
    </w:p>
    <w:p w:rsidR="007A2ECE" w:rsidRDefault="00D32F5E">
      <w:r>
        <w:t>Od ukupnog iznosa pomoći od EU evidentiranog u</w:t>
      </w:r>
      <w:r>
        <w:t xml:space="preserve"> 2025., iznos od 21.823,08 EUR se odnosi na refundaciju troškova službenih putovanja od BEREC-a (Tijelo europskih regulatora za elektroničke komunikacije), a 20.717,18 EUR od ostalih institucija i tijela EU (DSA, ERGP, RSPG, RSC, PDC i dr.) za sudjelovanje</w:t>
      </w:r>
      <w:r>
        <w:t xml:space="preserve"> na sastancima radnih skupina, plenarnim sjednicama, forumima i radionicama. HAKOM-ovi stručnjaci su sudjelovali na 65 sastanaka koji su se odnosili na područja elektroničkih komunikacija te poštanskih i željezničkih usluga. </w:t>
      </w:r>
    </w:p>
    <w:p w:rsidR="007A2ECE" w:rsidRDefault="00D32F5E">
      <w:r>
        <w:lastRenderedPageBreak/>
        <w:t>U 2025. realizacija je niža zb</w:t>
      </w:r>
      <w:r>
        <w:t>og manje službenih putovanja za koja su ostvarene refundacije troškova u odnosu na promatrano razdoblje prethodne godine. Naime, u 2024. je predsjednik Vijeća HAKOM-a g. Tonko Obuljen bio predsjedavajući BEREC-a što je iziskivalo značajan angažman stručnja</w:t>
      </w:r>
      <w:r>
        <w:t>ka HAKOM-a kroz sudjelovanje na većem broju sastanaka BEREC-a. U 2025. su te aktivnosti smanjene. </w:t>
      </w:r>
    </w:p>
    <w:p w:rsidR="007A2ECE" w:rsidRDefault="007A2ECE"/>
    <w:p w:rsidR="007A2ECE" w:rsidRDefault="00D32F5E">
      <w:pPr>
        <w:keepNext/>
        <w:spacing w:line="240" w:lineRule="auto"/>
        <w:jc w:val="center"/>
      </w:pPr>
      <w:r>
        <w:rPr>
          <w:sz w:val="28"/>
        </w:rPr>
        <w:t>Bilješka 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w:t>
            </w:r>
            <w:r>
              <w:rPr>
                <w:b/>
                <w:sz w:val="18"/>
              </w:rPr>
              <w:t>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64</w:t>
            </w:r>
          </w:p>
        </w:tc>
        <w:tc>
          <w:tcPr>
            <w:tcW w:w="3180" w:type="dxa"/>
            <w:tcMar>
              <w:top w:w="0" w:type="dxa"/>
              <w:bottom w:w="0" w:type="dxa"/>
            </w:tcMar>
            <w:vAlign w:val="center"/>
          </w:tcPr>
          <w:p w:rsidR="007A2ECE" w:rsidRDefault="00D32F5E">
            <w:pPr>
              <w:keepNext/>
              <w:keepLines/>
              <w:spacing w:after="0" w:line="240" w:lineRule="auto"/>
            </w:pPr>
            <w:r>
              <w:rPr>
                <w:sz w:val="18"/>
              </w:rPr>
              <w:t>Prihodi od imovine (šifre 641+642+643)</w:t>
            </w:r>
          </w:p>
        </w:tc>
        <w:tc>
          <w:tcPr>
            <w:tcW w:w="700" w:type="dxa"/>
            <w:tcMar>
              <w:top w:w="0" w:type="dxa"/>
              <w:bottom w:w="0" w:type="dxa"/>
            </w:tcMar>
            <w:vAlign w:val="center"/>
          </w:tcPr>
          <w:p w:rsidR="007A2ECE" w:rsidRDefault="00D32F5E">
            <w:pPr>
              <w:keepNext/>
              <w:keepLines/>
              <w:spacing w:after="0" w:line="240" w:lineRule="auto"/>
            </w:pPr>
            <w:r>
              <w:rPr>
                <w:sz w:val="18"/>
              </w:rPr>
              <w:t>64</w:t>
            </w:r>
          </w:p>
        </w:tc>
        <w:tc>
          <w:tcPr>
            <w:tcW w:w="1860" w:type="dxa"/>
            <w:tcMar>
              <w:top w:w="0" w:type="dxa"/>
              <w:bottom w:w="0" w:type="dxa"/>
            </w:tcMar>
            <w:vAlign w:val="center"/>
          </w:tcPr>
          <w:p w:rsidR="007A2ECE" w:rsidRDefault="00D32F5E">
            <w:pPr>
              <w:keepNext/>
              <w:keepLines/>
              <w:spacing w:after="0" w:line="240" w:lineRule="auto"/>
              <w:jc w:val="right"/>
            </w:pPr>
            <w:r>
              <w:rPr>
                <w:sz w:val="18"/>
              </w:rPr>
              <w:t>3.071,65</w:t>
            </w:r>
          </w:p>
        </w:tc>
        <w:tc>
          <w:tcPr>
            <w:tcW w:w="1860" w:type="dxa"/>
            <w:tcMar>
              <w:top w:w="0" w:type="dxa"/>
              <w:bottom w:w="0" w:type="dxa"/>
            </w:tcMar>
            <w:vAlign w:val="center"/>
          </w:tcPr>
          <w:p w:rsidR="007A2ECE" w:rsidRDefault="00D32F5E">
            <w:pPr>
              <w:keepNext/>
              <w:keepLines/>
              <w:spacing w:after="0" w:line="240" w:lineRule="auto"/>
              <w:jc w:val="right"/>
            </w:pPr>
            <w:r>
              <w:rPr>
                <w:sz w:val="18"/>
              </w:rPr>
              <w:t>2.952,33</w:t>
            </w:r>
          </w:p>
        </w:tc>
        <w:tc>
          <w:tcPr>
            <w:tcW w:w="700" w:type="dxa"/>
            <w:tcMar>
              <w:top w:w="0" w:type="dxa"/>
              <w:bottom w:w="0" w:type="dxa"/>
            </w:tcMar>
            <w:vAlign w:val="center"/>
          </w:tcPr>
          <w:p w:rsidR="007A2ECE" w:rsidRDefault="00D32F5E">
            <w:pPr>
              <w:keepNext/>
              <w:keepLines/>
              <w:spacing w:after="0" w:line="240" w:lineRule="auto"/>
              <w:jc w:val="right"/>
            </w:pPr>
            <w:r>
              <w:rPr>
                <w:sz w:val="18"/>
              </w:rPr>
              <w:t>96,1</w:t>
            </w:r>
          </w:p>
        </w:tc>
      </w:tr>
    </w:tbl>
    <w:p w:rsidR="007A2ECE" w:rsidRDefault="007A2ECE">
      <w:pPr>
        <w:spacing w:after="0"/>
      </w:pPr>
    </w:p>
    <w:p w:rsidR="007A2ECE" w:rsidRDefault="00D32F5E">
      <w:r>
        <w:t>Prihodi od imovine su u 2025. evidentirani u iznosu od 2.952,33 EUR što je na razini ostvarenja u istom razdoblju 2024. kada su iznosili 3.071,65 EUR.      </w:t>
      </w:r>
    </w:p>
    <w:p w:rsidR="007A2ECE" w:rsidRDefault="00D32F5E">
      <w:r>
        <w:t>Zatezne kamate su redovito obračunate i naplaćene od poslovnih subjekata koji nisu podmirili svoje obveze prema HAKOM-u do datuma dospijeća. U 2025. su prihodi od zateznih kamata realizirani u iznosu od 2.499,00 EUR te su smanjeni u odnosu na 2024. (2.772,</w:t>
      </w:r>
      <w:r>
        <w:t>17 EUR).</w:t>
      </w:r>
    </w:p>
    <w:p w:rsidR="007A2ECE" w:rsidRDefault="00D32F5E">
      <w:r>
        <w:t>Kamate na depozite po viđenju nisu materijalno značajne (453,31 EUR) zbog niskih kamatnih stopa poslovne banke. </w:t>
      </w:r>
    </w:p>
    <w:p w:rsidR="007A2ECE" w:rsidRDefault="007A2ECE"/>
    <w:p w:rsidR="007A2ECE" w:rsidRDefault="00D32F5E">
      <w:pPr>
        <w:keepNext/>
        <w:spacing w:line="240" w:lineRule="auto"/>
        <w:jc w:val="center"/>
      </w:pPr>
      <w:r>
        <w:rPr>
          <w:sz w:val="28"/>
        </w:rPr>
        <w:t>Bilješka 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w:t>
            </w:r>
            <w:r>
              <w:rPr>
                <w:b/>
                <w:sz w:val="18"/>
              </w:rPr>
              <w:t>lju tekuće godine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65</w:t>
            </w:r>
          </w:p>
        </w:tc>
        <w:tc>
          <w:tcPr>
            <w:tcW w:w="3180" w:type="dxa"/>
            <w:tcMar>
              <w:top w:w="0" w:type="dxa"/>
              <w:bottom w:w="0" w:type="dxa"/>
            </w:tcMar>
            <w:vAlign w:val="center"/>
          </w:tcPr>
          <w:p w:rsidR="007A2ECE" w:rsidRDefault="00D32F5E">
            <w:pPr>
              <w:keepNext/>
              <w:keepLines/>
              <w:spacing w:after="0" w:line="240" w:lineRule="auto"/>
            </w:pPr>
            <w:r>
              <w:rPr>
                <w:sz w:val="18"/>
              </w:rPr>
              <w:t>Prihodi od upravnih i administrativnih pristojbi, pristojbi po posebnim propisima i naknada (šifre 651+652+653+654)</w:t>
            </w:r>
          </w:p>
        </w:tc>
        <w:tc>
          <w:tcPr>
            <w:tcW w:w="700" w:type="dxa"/>
            <w:tcMar>
              <w:top w:w="0" w:type="dxa"/>
              <w:bottom w:w="0" w:type="dxa"/>
            </w:tcMar>
            <w:vAlign w:val="center"/>
          </w:tcPr>
          <w:p w:rsidR="007A2ECE" w:rsidRDefault="00D32F5E">
            <w:pPr>
              <w:keepNext/>
              <w:keepLines/>
              <w:spacing w:after="0" w:line="240" w:lineRule="auto"/>
            </w:pPr>
            <w:r>
              <w:rPr>
                <w:sz w:val="18"/>
              </w:rPr>
              <w:t>65</w:t>
            </w:r>
          </w:p>
        </w:tc>
        <w:tc>
          <w:tcPr>
            <w:tcW w:w="1860" w:type="dxa"/>
            <w:tcMar>
              <w:top w:w="0" w:type="dxa"/>
              <w:bottom w:w="0" w:type="dxa"/>
            </w:tcMar>
            <w:vAlign w:val="center"/>
          </w:tcPr>
          <w:p w:rsidR="007A2ECE" w:rsidRDefault="00D32F5E">
            <w:pPr>
              <w:keepNext/>
              <w:keepLines/>
              <w:spacing w:after="0" w:line="240" w:lineRule="auto"/>
              <w:jc w:val="right"/>
            </w:pPr>
            <w:r>
              <w:rPr>
                <w:sz w:val="18"/>
              </w:rPr>
              <w:t>15.737.769,61</w:t>
            </w:r>
          </w:p>
        </w:tc>
        <w:tc>
          <w:tcPr>
            <w:tcW w:w="1860" w:type="dxa"/>
            <w:tcMar>
              <w:top w:w="0" w:type="dxa"/>
              <w:bottom w:w="0" w:type="dxa"/>
            </w:tcMar>
            <w:vAlign w:val="center"/>
          </w:tcPr>
          <w:p w:rsidR="007A2ECE" w:rsidRDefault="00D32F5E">
            <w:pPr>
              <w:keepNext/>
              <w:keepLines/>
              <w:spacing w:after="0" w:line="240" w:lineRule="auto"/>
              <w:jc w:val="right"/>
            </w:pPr>
            <w:r>
              <w:rPr>
                <w:sz w:val="18"/>
              </w:rPr>
              <w:t>16.948.519,11</w:t>
            </w:r>
          </w:p>
        </w:tc>
        <w:tc>
          <w:tcPr>
            <w:tcW w:w="700" w:type="dxa"/>
            <w:tcMar>
              <w:top w:w="0" w:type="dxa"/>
              <w:bottom w:w="0" w:type="dxa"/>
            </w:tcMar>
            <w:vAlign w:val="center"/>
          </w:tcPr>
          <w:p w:rsidR="007A2ECE" w:rsidRDefault="00D32F5E">
            <w:pPr>
              <w:keepNext/>
              <w:keepLines/>
              <w:spacing w:after="0" w:line="240" w:lineRule="auto"/>
              <w:jc w:val="right"/>
            </w:pPr>
            <w:r>
              <w:rPr>
                <w:sz w:val="18"/>
              </w:rPr>
              <w:t>107,7</w:t>
            </w:r>
          </w:p>
        </w:tc>
      </w:tr>
    </w:tbl>
    <w:p w:rsidR="007A2ECE" w:rsidRDefault="007A2ECE">
      <w:pPr>
        <w:spacing w:after="0"/>
      </w:pPr>
    </w:p>
    <w:p w:rsidR="007A2ECE" w:rsidRDefault="00D32F5E">
      <w:r>
        <w:t xml:space="preserve">Prihodi po posebnim propisima, koji se najvećim dijelom odnose na naknade za uporabu </w:t>
      </w:r>
      <w:proofErr w:type="spellStart"/>
      <w:r>
        <w:t>radiofrekvencijskog</w:t>
      </w:r>
      <w:proofErr w:type="spellEnd"/>
      <w:r>
        <w:t xml:space="preserve"> spektra, naknade za uporabu adresa i brojeva, naknade za obavljanje poslova HAKOM-a u području poštanskih i željezničkih usluga te drugih poslova u pod</w:t>
      </w:r>
      <w:r>
        <w:t>ručju elektroničkih komunikacija su u promatranom razdoblju 2025. ostvareni u iznosu od 16.948.519,11 EUR, što je 7,7% više u odnosu na ostvarenje u prethodnom izvještajnom razdoblju. </w:t>
      </w:r>
    </w:p>
    <w:p w:rsidR="007A2ECE" w:rsidRDefault="00D32F5E">
      <w:r>
        <w:t>Na povećanje prihoda je utjecalo povećanje godišnjih bruto prihoda koje</w:t>
      </w:r>
      <w:r>
        <w:t xml:space="preserve"> su u prethodnoj kalendarskoj godini ostvarili operatori u obavljanju djelatnosti elektroničkih komunikacijskih mreža i usluga, davatelji poštanskih usluga i upravitelj infrastrukture od obavljanja željezničkih usluga. Također, povećane su naknade za obavl</w:t>
      </w:r>
      <w:r>
        <w:t>janje poslova HAKOM-a u području regulacije tržišta željezničkih usluga s 2,65% na 3,75% od ukupnog godišnjeg bruto prihoda upravitelja infrastrukture koji je u prethodnoj kalendarskoj godini ostvaren od obavljanja željezničkih usluga temeljem Pravilnika o</w:t>
      </w:r>
      <w:r>
        <w:t xml:space="preserve"> plaćanju naknada za obavljanje poslova HAKOM-a (NN br. 151/24), a koji se primjenjuje od 1. siječnja 2025. </w:t>
      </w:r>
    </w:p>
    <w:p w:rsidR="007A2ECE" w:rsidRDefault="00D32F5E">
      <w:r>
        <w:lastRenderedPageBreak/>
        <w:t xml:space="preserve">Na povećanje prihoda je utjecala i veća naplaćenost naknada za uporabu </w:t>
      </w:r>
      <w:proofErr w:type="spellStart"/>
      <w:r>
        <w:t>radiofrekvencijskog</w:t>
      </w:r>
      <w:proofErr w:type="spellEnd"/>
      <w:r>
        <w:t xml:space="preserve"> spektra za javnu elektroničku komunikacijsku mrežu čiji </w:t>
      </w:r>
      <w:r>
        <w:t>su računi izdani u drugoj polovici 2024. s dospijećem i ostvarenom naplatom u 2025. </w:t>
      </w:r>
    </w:p>
    <w:p w:rsidR="007A2ECE" w:rsidRDefault="007A2ECE"/>
    <w:p w:rsidR="007A2ECE" w:rsidRDefault="00D32F5E">
      <w:pPr>
        <w:keepNext/>
        <w:spacing w:line="240" w:lineRule="auto"/>
        <w:jc w:val="center"/>
      </w:pPr>
      <w:r>
        <w:rPr>
          <w:sz w:val="28"/>
        </w:rPr>
        <w:t>Bilješka 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68</w:t>
            </w:r>
          </w:p>
        </w:tc>
        <w:tc>
          <w:tcPr>
            <w:tcW w:w="3180" w:type="dxa"/>
            <w:tcMar>
              <w:top w:w="0" w:type="dxa"/>
              <w:bottom w:w="0" w:type="dxa"/>
            </w:tcMar>
            <w:vAlign w:val="center"/>
          </w:tcPr>
          <w:p w:rsidR="007A2ECE" w:rsidRDefault="00D32F5E">
            <w:pPr>
              <w:keepNext/>
              <w:keepLines/>
              <w:spacing w:after="0" w:line="240" w:lineRule="auto"/>
            </w:pPr>
            <w:r>
              <w:rPr>
                <w:sz w:val="18"/>
              </w:rPr>
              <w:t>Kazne, upravne mjere i ostali prihodi (šifre 681+683)</w:t>
            </w:r>
          </w:p>
        </w:tc>
        <w:tc>
          <w:tcPr>
            <w:tcW w:w="700" w:type="dxa"/>
            <w:tcMar>
              <w:top w:w="0" w:type="dxa"/>
              <w:bottom w:w="0" w:type="dxa"/>
            </w:tcMar>
            <w:vAlign w:val="center"/>
          </w:tcPr>
          <w:p w:rsidR="007A2ECE" w:rsidRDefault="00D32F5E">
            <w:pPr>
              <w:keepNext/>
              <w:keepLines/>
              <w:spacing w:after="0" w:line="240" w:lineRule="auto"/>
            </w:pPr>
            <w:r>
              <w:rPr>
                <w:sz w:val="18"/>
              </w:rPr>
              <w:t>68</w:t>
            </w:r>
          </w:p>
        </w:tc>
        <w:tc>
          <w:tcPr>
            <w:tcW w:w="1860" w:type="dxa"/>
            <w:tcMar>
              <w:top w:w="0" w:type="dxa"/>
              <w:bottom w:w="0" w:type="dxa"/>
            </w:tcMar>
            <w:vAlign w:val="center"/>
          </w:tcPr>
          <w:p w:rsidR="007A2ECE" w:rsidRDefault="00D32F5E">
            <w:pPr>
              <w:keepNext/>
              <w:keepLines/>
              <w:spacing w:after="0" w:line="240" w:lineRule="auto"/>
              <w:jc w:val="right"/>
            </w:pPr>
            <w:r>
              <w:rPr>
                <w:sz w:val="18"/>
              </w:rPr>
              <w:t>8.455,63</w:t>
            </w:r>
          </w:p>
        </w:tc>
        <w:tc>
          <w:tcPr>
            <w:tcW w:w="1860" w:type="dxa"/>
            <w:tcMar>
              <w:top w:w="0" w:type="dxa"/>
              <w:bottom w:w="0" w:type="dxa"/>
            </w:tcMar>
            <w:vAlign w:val="center"/>
          </w:tcPr>
          <w:p w:rsidR="007A2ECE" w:rsidRDefault="00D32F5E">
            <w:pPr>
              <w:keepNext/>
              <w:keepLines/>
              <w:spacing w:after="0" w:line="240" w:lineRule="auto"/>
              <w:jc w:val="right"/>
            </w:pPr>
            <w:r>
              <w:rPr>
                <w:sz w:val="18"/>
              </w:rPr>
              <w:t>38.656,97</w:t>
            </w:r>
          </w:p>
        </w:tc>
        <w:tc>
          <w:tcPr>
            <w:tcW w:w="700" w:type="dxa"/>
            <w:tcMar>
              <w:top w:w="0" w:type="dxa"/>
              <w:bottom w:w="0" w:type="dxa"/>
            </w:tcMar>
            <w:vAlign w:val="center"/>
          </w:tcPr>
          <w:p w:rsidR="007A2ECE" w:rsidRDefault="00D32F5E">
            <w:pPr>
              <w:keepNext/>
              <w:keepLines/>
              <w:spacing w:after="0" w:line="240" w:lineRule="auto"/>
              <w:jc w:val="right"/>
            </w:pPr>
            <w:r>
              <w:rPr>
                <w:sz w:val="18"/>
              </w:rPr>
              <w:t>457,2</w:t>
            </w:r>
          </w:p>
        </w:tc>
      </w:tr>
    </w:tbl>
    <w:p w:rsidR="007A2ECE" w:rsidRDefault="007A2ECE">
      <w:pPr>
        <w:spacing w:after="0"/>
      </w:pPr>
    </w:p>
    <w:p w:rsidR="007A2ECE" w:rsidRDefault="00D32F5E">
      <w:r>
        <w:t>Ostali prihodi (konto 683) su u promatranom razdoblju 2025. ostvareni u iznosu od 38.656,97 EUR te se najvećim dijelom odnose na povrat otpremnine zaposlenika temeljem sudske presude i na uplatu sredstava od strane francuskog regulatora za elektroničke kom</w:t>
      </w:r>
      <w:r>
        <w:t xml:space="preserve">unikacije koji je HAKOM-u doznačio novčana sredstva jer su HAKOM-ovi stručnjaci provodili kontrolu </w:t>
      </w:r>
      <w:proofErr w:type="spellStart"/>
      <w:r>
        <w:t>radiofrekvencijskog</w:t>
      </w:r>
      <w:proofErr w:type="spellEnd"/>
      <w:r>
        <w:t xml:space="preserve"> spektra za vrijeme održavanja Olimpijskih igara u Parizu. Na kontu 683 su evidentirani i prihodi od zaposlenika za korištenje </w:t>
      </w:r>
      <w:proofErr w:type="spellStart"/>
      <w:r>
        <w:t>Multisport</w:t>
      </w:r>
      <w:proofErr w:type="spellEnd"/>
      <w:r>
        <w:t xml:space="preserve"> </w:t>
      </w:r>
      <w:r>
        <w:t>kartice.   </w:t>
      </w:r>
    </w:p>
    <w:p w:rsidR="007A2ECE" w:rsidRDefault="007A2ECE"/>
    <w:p w:rsidR="007A2ECE" w:rsidRDefault="00D32F5E">
      <w:pPr>
        <w:keepNext/>
        <w:spacing w:line="240" w:lineRule="auto"/>
        <w:jc w:val="center"/>
      </w:pPr>
      <w:r>
        <w:rPr>
          <w:sz w:val="28"/>
        </w:rPr>
        <w:t>Bilješka 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31</w:t>
            </w:r>
          </w:p>
        </w:tc>
        <w:tc>
          <w:tcPr>
            <w:tcW w:w="3180" w:type="dxa"/>
            <w:tcMar>
              <w:top w:w="0" w:type="dxa"/>
              <w:bottom w:w="0" w:type="dxa"/>
            </w:tcMar>
            <w:vAlign w:val="center"/>
          </w:tcPr>
          <w:p w:rsidR="007A2ECE" w:rsidRDefault="00D32F5E">
            <w:pPr>
              <w:keepNext/>
              <w:keepLines/>
              <w:spacing w:after="0" w:line="240" w:lineRule="auto"/>
            </w:pPr>
            <w:r>
              <w:rPr>
                <w:sz w:val="18"/>
              </w:rPr>
              <w:t>Rashodi za zaposlene (šifre 311+312+313)</w:t>
            </w:r>
          </w:p>
        </w:tc>
        <w:tc>
          <w:tcPr>
            <w:tcW w:w="700" w:type="dxa"/>
            <w:tcMar>
              <w:top w:w="0" w:type="dxa"/>
              <w:bottom w:w="0" w:type="dxa"/>
            </w:tcMar>
            <w:vAlign w:val="center"/>
          </w:tcPr>
          <w:p w:rsidR="007A2ECE" w:rsidRDefault="00D32F5E">
            <w:pPr>
              <w:keepNext/>
              <w:keepLines/>
              <w:spacing w:after="0" w:line="240" w:lineRule="auto"/>
            </w:pPr>
            <w:r>
              <w:rPr>
                <w:sz w:val="18"/>
              </w:rPr>
              <w:t>31</w:t>
            </w:r>
          </w:p>
        </w:tc>
        <w:tc>
          <w:tcPr>
            <w:tcW w:w="1860" w:type="dxa"/>
            <w:tcMar>
              <w:top w:w="0" w:type="dxa"/>
              <w:bottom w:w="0" w:type="dxa"/>
            </w:tcMar>
            <w:vAlign w:val="center"/>
          </w:tcPr>
          <w:p w:rsidR="007A2ECE" w:rsidRDefault="00D32F5E">
            <w:pPr>
              <w:keepNext/>
              <w:keepLines/>
              <w:spacing w:after="0" w:line="240" w:lineRule="auto"/>
              <w:jc w:val="right"/>
            </w:pPr>
            <w:r>
              <w:rPr>
                <w:sz w:val="18"/>
              </w:rPr>
              <w:t>8.502.839,23</w:t>
            </w:r>
          </w:p>
        </w:tc>
        <w:tc>
          <w:tcPr>
            <w:tcW w:w="1860" w:type="dxa"/>
            <w:tcMar>
              <w:top w:w="0" w:type="dxa"/>
              <w:bottom w:w="0" w:type="dxa"/>
            </w:tcMar>
            <w:vAlign w:val="center"/>
          </w:tcPr>
          <w:p w:rsidR="007A2ECE" w:rsidRDefault="00D32F5E">
            <w:pPr>
              <w:keepNext/>
              <w:keepLines/>
              <w:spacing w:after="0" w:line="240" w:lineRule="auto"/>
              <w:jc w:val="right"/>
            </w:pPr>
            <w:r>
              <w:rPr>
                <w:sz w:val="18"/>
              </w:rPr>
              <w:t>9.821.540,95</w:t>
            </w:r>
          </w:p>
        </w:tc>
        <w:tc>
          <w:tcPr>
            <w:tcW w:w="700" w:type="dxa"/>
            <w:tcMar>
              <w:top w:w="0" w:type="dxa"/>
              <w:bottom w:w="0" w:type="dxa"/>
            </w:tcMar>
            <w:vAlign w:val="center"/>
          </w:tcPr>
          <w:p w:rsidR="007A2ECE" w:rsidRDefault="00D32F5E">
            <w:pPr>
              <w:keepNext/>
              <w:keepLines/>
              <w:spacing w:after="0" w:line="240" w:lineRule="auto"/>
              <w:jc w:val="right"/>
            </w:pPr>
            <w:r>
              <w:rPr>
                <w:sz w:val="18"/>
              </w:rPr>
              <w:t>115,5</w:t>
            </w:r>
          </w:p>
        </w:tc>
      </w:tr>
    </w:tbl>
    <w:p w:rsidR="007A2ECE" w:rsidRDefault="007A2ECE">
      <w:pPr>
        <w:spacing w:after="0"/>
      </w:pPr>
    </w:p>
    <w:p w:rsidR="007A2ECE" w:rsidRDefault="00D32F5E">
      <w:r>
        <w:t>Rashodi za zaposlene su u 2025. ostvareni u iznosu od 9.821.540,95 EUR, što predstavlja povećanje u odnosu na ostvarenje u promatranom razdoblju prethodne godine. Povećanje rashoda za zaposlene posljedica je povećanja ukupnog iznosa troška dodatka za radn</w:t>
      </w:r>
      <w:r>
        <w:t>i staž, usklađenja plaće s inflacijom te uređenja unutarnjeg ustrojstva, sistematizacije radnih mjesta i plaće zaposlenika polovicom 2024. HAKOM je u 2024. počeo primjenjivati osnovicu za obračun plaće sukladno Zakonu o plaćama u državnoj službi i javnim s</w:t>
      </w:r>
      <w:r>
        <w:t>lužbama (NN br. 155/23) koja je povećana 1. veljače 2025. i 1. rujna 2025.   </w:t>
      </w:r>
    </w:p>
    <w:p w:rsidR="007A2ECE" w:rsidRDefault="00D32F5E">
      <w:r>
        <w:t>HAKOM je u 2025. zapošljavao tri zaposlenika za koje su korištene mjere aktivne politike zapošljavanja koje provode Ministarstvo rada i mirovinskoga sustava i Hrvatski zavod za z</w:t>
      </w:r>
      <w:r>
        <w:t>apošljavanje (mjere za stjecanje prvog radnog iskustva/pripravništva).   </w:t>
      </w:r>
    </w:p>
    <w:p w:rsidR="007A2ECE" w:rsidRDefault="007A2ECE"/>
    <w:p w:rsidR="007A2ECE" w:rsidRDefault="00D32F5E">
      <w:pPr>
        <w:keepNext/>
        <w:spacing w:line="240" w:lineRule="auto"/>
        <w:jc w:val="center"/>
      </w:pPr>
      <w:r>
        <w:rPr>
          <w:sz w:val="28"/>
        </w:rPr>
        <w:t>Bilješka 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32</w:t>
            </w:r>
          </w:p>
        </w:tc>
        <w:tc>
          <w:tcPr>
            <w:tcW w:w="3180" w:type="dxa"/>
            <w:tcMar>
              <w:top w:w="0" w:type="dxa"/>
              <w:bottom w:w="0" w:type="dxa"/>
            </w:tcMar>
            <w:vAlign w:val="center"/>
          </w:tcPr>
          <w:p w:rsidR="007A2ECE" w:rsidRDefault="00D32F5E">
            <w:pPr>
              <w:keepNext/>
              <w:keepLines/>
              <w:spacing w:after="0" w:line="240" w:lineRule="auto"/>
            </w:pPr>
            <w:r>
              <w:rPr>
                <w:sz w:val="18"/>
              </w:rPr>
              <w:t xml:space="preserve">Materijalni </w:t>
            </w:r>
            <w:r>
              <w:rPr>
                <w:sz w:val="18"/>
              </w:rPr>
              <w:t>rashodi (šifre 321+322+323+324+325+329)</w:t>
            </w:r>
          </w:p>
        </w:tc>
        <w:tc>
          <w:tcPr>
            <w:tcW w:w="700" w:type="dxa"/>
            <w:tcMar>
              <w:top w:w="0" w:type="dxa"/>
              <w:bottom w:w="0" w:type="dxa"/>
            </w:tcMar>
            <w:vAlign w:val="center"/>
          </w:tcPr>
          <w:p w:rsidR="007A2ECE" w:rsidRDefault="00D32F5E">
            <w:pPr>
              <w:keepNext/>
              <w:keepLines/>
              <w:spacing w:after="0" w:line="240" w:lineRule="auto"/>
            </w:pPr>
            <w:r>
              <w:rPr>
                <w:sz w:val="18"/>
              </w:rPr>
              <w:t>32</w:t>
            </w:r>
          </w:p>
        </w:tc>
        <w:tc>
          <w:tcPr>
            <w:tcW w:w="1860" w:type="dxa"/>
            <w:tcMar>
              <w:top w:w="0" w:type="dxa"/>
              <w:bottom w:w="0" w:type="dxa"/>
            </w:tcMar>
            <w:vAlign w:val="center"/>
          </w:tcPr>
          <w:p w:rsidR="007A2ECE" w:rsidRDefault="00D32F5E">
            <w:pPr>
              <w:keepNext/>
              <w:keepLines/>
              <w:spacing w:after="0" w:line="240" w:lineRule="auto"/>
              <w:jc w:val="right"/>
            </w:pPr>
            <w:r>
              <w:rPr>
                <w:sz w:val="18"/>
              </w:rPr>
              <w:t>4.198.132,32</w:t>
            </w:r>
          </w:p>
        </w:tc>
        <w:tc>
          <w:tcPr>
            <w:tcW w:w="1860" w:type="dxa"/>
            <w:tcMar>
              <w:top w:w="0" w:type="dxa"/>
              <w:bottom w:w="0" w:type="dxa"/>
            </w:tcMar>
            <w:vAlign w:val="center"/>
          </w:tcPr>
          <w:p w:rsidR="007A2ECE" w:rsidRDefault="00D32F5E">
            <w:pPr>
              <w:keepNext/>
              <w:keepLines/>
              <w:spacing w:after="0" w:line="240" w:lineRule="auto"/>
              <w:jc w:val="right"/>
            </w:pPr>
            <w:r>
              <w:rPr>
                <w:sz w:val="18"/>
              </w:rPr>
              <w:t>4.881.760,84</w:t>
            </w:r>
          </w:p>
        </w:tc>
        <w:tc>
          <w:tcPr>
            <w:tcW w:w="700" w:type="dxa"/>
            <w:tcMar>
              <w:top w:w="0" w:type="dxa"/>
              <w:bottom w:w="0" w:type="dxa"/>
            </w:tcMar>
            <w:vAlign w:val="center"/>
          </w:tcPr>
          <w:p w:rsidR="007A2ECE" w:rsidRDefault="00D32F5E">
            <w:pPr>
              <w:keepNext/>
              <w:keepLines/>
              <w:spacing w:after="0" w:line="240" w:lineRule="auto"/>
              <w:jc w:val="right"/>
            </w:pPr>
            <w:r>
              <w:rPr>
                <w:sz w:val="18"/>
              </w:rPr>
              <w:t>116,3</w:t>
            </w:r>
          </w:p>
        </w:tc>
      </w:tr>
    </w:tbl>
    <w:p w:rsidR="007A2ECE" w:rsidRDefault="007A2ECE">
      <w:pPr>
        <w:spacing w:after="0"/>
      </w:pPr>
    </w:p>
    <w:p w:rsidR="007A2ECE" w:rsidRDefault="00D32F5E">
      <w:r>
        <w:lastRenderedPageBreak/>
        <w:t>Materijalni rashodi su ostvareni u iznosu od 4.881.760,84 EUR, što predstavlja povećanje za 16,3% u odnosu na promatrano razdoblje prethodne godine. </w:t>
      </w:r>
    </w:p>
    <w:p w:rsidR="007A2ECE" w:rsidRDefault="00D32F5E">
      <w:r>
        <w:rPr>
          <w:b/>
        </w:rPr>
        <w:t>Naknade troškova zaposlenima (konto 321)</w:t>
      </w:r>
      <w:r>
        <w:t xml:space="preserve"> čine: </w:t>
      </w:r>
    </w:p>
    <w:p w:rsidR="007A2ECE" w:rsidRDefault="00D32F5E">
      <w:r>
        <w:t>- službena putovanja koja su veća za 1,4% u odnosu na isto razdoblje 2024. zbog većih naknada za prijevoz na službenim putovanjima u zemlji i inozemstvu</w:t>
      </w:r>
    </w:p>
    <w:p w:rsidR="007A2ECE" w:rsidRDefault="00D32F5E">
      <w:r>
        <w:t>- naknade za prijevoz, za rad na terenu i odvojeni živo</w:t>
      </w:r>
      <w:r>
        <w:t>t koje su 2,0% veće od realizacije promatranog razdoblja 2024. </w:t>
      </w:r>
    </w:p>
    <w:p w:rsidR="007A2ECE" w:rsidRDefault="00D32F5E">
      <w:r>
        <w:t>- stručno usavršavanje zaposlenika koje je više za 22,3% od realizacije promatranog razdoblja 2024., a odnosi se na konferencije i simpozije, izobrazbe za razvoj rukovodećeg kadra, razvoj spec</w:t>
      </w:r>
      <w:r>
        <w:t>ifičnih i osobnih kompetencija zaposlenika (stručni seminari, savjetovanja i radionice), stručni ispiti, AI edukacija i edukacija o informacijskoj sigurnosti </w:t>
      </w:r>
    </w:p>
    <w:p w:rsidR="007A2ECE" w:rsidRDefault="00D32F5E">
      <w:r>
        <w:t>- ostale naknade troškova zaposlenima koje se odnose na paušalnu naknadu koja se isplaćuje zaposl</w:t>
      </w:r>
      <w:r>
        <w:t>enicima na izdvojenom mjestu rada.</w:t>
      </w:r>
    </w:p>
    <w:p w:rsidR="007A2ECE" w:rsidRDefault="00D32F5E">
      <w:r>
        <w:t> </w:t>
      </w:r>
    </w:p>
    <w:p w:rsidR="007A2ECE" w:rsidRDefault="00D32F5E">
      <w:r>
        <w:rPr>
          <w:b/>
        </w:rPr>
        <w:t>Rashode za materijal i energiju (konto 322)</w:t>
      </w:r>
      <w:r>
        <w:t xml:space="preserve"> čine:</w:t>
      </w:r>
    </w:p>
    <w:p w:rsidR="007A2ECE" w:rsidRDefault="00D32F5E">
      <w:r>
        <w:t xml:space="preserve">- energija čija realizacija je smanjena zbog smanjenja potrošnje električne i toplinske energije te goriva. Osim potrošnje, na smanjenje električne energije je utjecala </w:t>
      </w:r>
      <w:r>
        <w:t>i manja cijena u 2025. u odnosu na cijene u 2024. zbog subvencioniranja od strane Vlade RH</w:t>
      </w:r>
    </w:p>
    <w:p w:rsidR="007A2ECE" w:rsidRDefault="00D32F5E">
      <w:r>
        <w:t>- uredski materijal i ostali materijalni rashodi čine uredski materijal, literatura, sredstva za čišćenje i ostali materijal za potrebe redovnog poslovanja</w:t>
      </w:r>
    </w:p>
    <w:p w:rsidR="007A2ECE" w:rsidRDefault="00D32F5E">
      <w:r>
        <w:t>- materijal i dijelovi za tekuće i investicijsko održavanje – tekućina za staklo, ventili, metlice brisača, pumpica za odleđivanje i prva pomoć</w:t>
      </w:r>
    </w:p>
    <w:p w:rsidR="007A2ECE" w:rsidRDefault="00D32F5E">
      <w:r>
        <w:t xml:space="preserve">- sitni inventar i </w:t>
      </w:r>
      <w:proofErr w:type="spellStart"/>
      <w:r>
        <w:t>autogume</w:t>
      </w:r>
      <w:proofErr w:type="spellEnd"/>
      <w:r>
        <w:t xml:space="preserve"> – nabavljena su četiri kompleta ljetnih i osam kompleta zimskih </w:t>
      </w:r>
      <w:proofErr w:type="spellStart"/>
      <w:r>
        <w:t>autoguma</w:t>
      </w:r>
      <w:proofErr w:type="spellEnd"/>
      <w:r>
        <w:t xml:space="preserve"> za službena</w:t>
      </w:r>
      <w:r>
        <w:t xml:space="preserve"> vozila.</w:t>
      </w:r>
    </w:p>
    <w:p w:rsidR="007A2ECE" w:rsidRDefault="00D32F5E">
      <w:r>
        <w:t>- službena, radna i zaštitna odjeća i obuća – kupljena je zaštitna odjeća i obuća za zaposlenike koji rade na radnim mjestima s posebnim uvjetima rada</w:t>
      </w:r>
    </w:p>
    <w:p w:rsidR="007A2ECE" w:rsidRDefault="00D32F5E">
      <w:r>
        <w:t> </w:t>
      </w:r>
    </w:p>
    <w:p w:rsidR="007A2ECE" w:rsidRDefault="00D32F5E">
      <w:r>
        <w:rPr>
          <w:b/>
        </w:rPr>
        <w:t>Rashodi za usluge (konto 323)</w:t>
      </w:r>
      <w:r>
        <w:t xml:space="preserve"> su najznačajniji u okviru materijalnih rashoda, a najvećim dijel</w:t>
      </w:r>
      <w:r>
        <w:t>om ih čine:</w:t>
      </w:r>
    </w:p>
    <w:p w:rsidR="007A2ECE" w:rsidRDefault="00D32F5E">
      <w:r>
        <w:t xml:space="preserve">- zakupnine i najamnine koje čini trošak zakupa poslovnog i parkirnog prostora, zakupa opreme i licence. Realizacija je veća u odnosu na promatrano razdoblje 2024. zbog provođenja </w:t>
      </w:r>
      <w:proofErr w:type="spellStart"/>
      <w:r>
        <w:t>indeksacije</w:t>
      </w:r>
      <w:proofErr w:type="spellEnd"/>
      <w:r>
        <w:t xml:space="preserve"> cijene zakupa poslovnog prostora Sky-</w:t>
      </w:r>
      <w:proofErr w:type="spellStart"/>
      <w:r>
        <w:t>office</w:t>
      </w:r>
      <w:proofErr w:type="spellEnd"/>
      <w:r>
        <w:t xml:space="preserve"> u 2025.</w:t>
      </w:r>
    </w:p>
    <w:p w:rsidR="007A2ECE" w:rsidRDefault="00D32F5E">
      <w:r>
        <w:t xml:space="preserve">- intelektualne i osobne usluge koje čine usluge savjetovanja i pružanja regulatornih informacija, usluge savjetovanja MS testa koje obuhvaćaju pregled i izmjenu metodologije i MST modela, usluge pružanja podrške za izradu modaliteta MVNO (Mobile </w:t>
      </w:r>
      <w:proofErr w:type="spellStart"/>
      <w:r>
        <w:t>Virtual</w:t>
      </w:r>
      <w:proofErr w:type="spellEnd"/>
      <w:r>
        <w:t xml:space="preserve"> N</w:t>
      </w:r>
      <w:r>
        <w:t>etwork Operator) pristupa i izrada modela koji će HAKOM-u omogućiti procjenu mogućnosti ekonomske replikacije maloprodajnih ponuda mrežnog operatora koji omogućuje MVNO pristup, usluge izrade izvješća o kvaliteti usluga u javnim pokretnim mrežama, konzulta</w:t>
      </w:r>
      <w:r>
        <w:t xml:space="preserve">ntske </w:t>
      </w:r>
      <w:r>
        <w:lastRenderedPageBreak/>
        <w:t>usluge za sigurnosnu GAP analizu, usluge istraživanja tržišta - zlonamjerni pozivi i poruke, usluge istraživanja zadovoljstva i potreba korisnika poštanskih usluga (individualni korisnici), usluge istraživanja tržišta o korištenju i zadovoljstvu inte</w:t>
      </w:r>
      <w:r>
        <w:t>rnetskim uslugama, usluge revizije Izvješća o kakvoći obavljanja univerzalne usluge za 2024., usluge revizije regulatornog izvještaja davatelja univerzalne usluge, usluge provjere ispravnosti izračuna neto troška davatelja univerzalne usluge, projekt Prist</w:t>
      </w:r>
      <w:r>
        <w:t>upačnost 2025. – razvoj pristupačnog virtualnog AI asistenta za korisničku podršku u području elektroničkih komunikacija, konzultantske usluge za unapređenje i upravljanje poslovnim procesima, usluge savjetovanja u području upravljanja ljudskih potencijala</w:t>
      </w:r>
      <w:r>
        <w:t>, usluge analize stanja SharePoint poslužitelja, odvjetničke usluge, usluge prevođenja i usluge student servisa</w:t>
      </w:r>
    </w:p>
    <w:p w:rsidR="007A2ECE" w:rsidRDefault="00D32F5E">
      <w:r>
        <w:t>- računalne usluge se odnose na usluge podrške i održavanja računalnih sustava (</w:t>
      </w:r>
      <w:proofErr w:type="spellStart"/>
      <w:r>
        <w:t>Centrix</w:t>
      </w:r>
      <w:proofErr w:type="spellEnd"/>
      <w:r>
        <w:t xml:space="preserve">, </w:t>
      </w:r>
      <w:proofErr w:type="spellStart"/>
      <w:r>
        <w:t>HRNet</w:t>
      </w:r>
      <w:proofErr w:type="spellEnd"/>
      <w:r>
        <w:t xml:space="preserve">, Business Central, </w:t>
      </w:r>
      <w:proofErr w:type="spellStart"/>
      <w:r>
        <w:t>CHIRplus</w:t>
      </w:r>
      <w:proofErr w:type="spellEnd"/>
      <w:r>
        <w:t xml:space="preserve"> BC i </w:t>
      </w:r>
      <w:proofErr w:type="spellStart"/>
      <w:r>
        <w:t>Spectra</w:t>
      </w:r>
      <w:proofErr w:type="spellEnd"/>
      <w:r>
        <w:t xml:space="preserve">, </w:t>
      </w:r>
      <w:proofErr w:type="spellStart"/>
      <w:r>
        <w:t>eDozvol</w:t>
      </w:r>
      <w:r>
        <w:t>e</w:t>
      </w:r>
      <w:proofErr w:type="spellEnd"/>
      <w:r>
        <w:t xml:space="preserve">, Intranet, </w:t>
      </w:r>
      <w:proofErr w:type="spellStart"/>
      <w:r>
        <w:t>eUred</w:t>
      </w:r>
      <w:proofErr w:type="spellEnd"/>
      <w:r>
        <w:t xml:space="preserve">, Rasprave, </w:t>
      </w:r>
      <w:proofErr w:type="spellStart"/>
      <w:r>
        <w:t>eOperator</w:t>
      </w:r>
      <w:proofErr w:type="spellEnd"/>
      <w:r>
        <w:t xml:space="preserve">, Registar „Ne zovi“, web aplikacije, Sustav za sigurnosnu pohranu podataka, Sustav za analizu tržišta (SAT), Sustav zaštite elektroničke pošte, GIS portal, </w:t>
      </w:r>
      <w:proofErr w:type="spellStart"/>
      <w:r>
        <w:t>HAKOMetar</w:t>
      </w:r>
      <w:proofErr w:type="spellEnd"/>
      <w:r>
        <w:t xml:space="preserve"> Plus, aplikacija za evidenciju radnog vremena </w:t>
      </w:r>
      <w:proofErr w:type="spellStart"/>
      <w:r>
        <w:t>Time</w:t>
      </w:r>
      <w:r>
        <w:t>&amp;Space</w:t>
      </w:r>
      <w:proofErr w:type="spellEnd"/>
      <w:r>
        <w:t xml:space="preserve">, MS platforma, sustav </w:t>
      </w:r>
      <w:proofErr w:type="spellStart"/>
      <w:r>
        <w:t>vatrozida</w:t>
      </w:r>
      <w:proofErr w:type="spellEnd"/>
      <w:r>
        <w:t>), usluge pristupa članstva i korištenja CIX središta, usluge optičkog prepoznavanja znakova i uklanjanja osobnih podataka i dr. </w:t>
      </w:r>
    </w:p>
    <w:p w:rsidR="007A2ECE" w:rsidRDefault="00D32F5E">
      <w:r>
        <w:t>- usluge tekućeg i investicijskog održavanja koje se odnose na usluge tekućeg i investic</w:t>
      </w:r>
      <w:r>
        <w:t xml:space="preserve">ijskog održavanja službenih vozila, informatičkih sustava, mjernih i kontrolnih uređaja za potrebe nadzora i upravljanja </w:t>
      </w:r>
      <w:proofErr w:type="spellStart"/>
      <w:r>
        <w:t>radiofrekvencijskim</w:t>
      </w:r>
      <w:proofErr w:type="spellEnd"/>
      <w:r>
        <w:t xml:space="preserve"> spektrom, te kontrolno-mjernih središta i kontrolno-mjernih postaja, mjesečne zajedničke troškove održavanja zgrade</w:t>
      </w:r>
      <w:r>
        <w:t xml:space="preserve"> Sky-</w:t>
      </w:r>
      <w:proofErr w:type="spellStart"/>
      <w:r>
        <w:t>office</w:t>
      </w:r>
      <w:proofErr w:type="spellEnd"/>
      <w:r>
        <w:t xml:space="preserve"> u kojoj je HAKOM zakupio poslovne prostore </w:t>
      </w:r>
    </w:p>
    <w:p w:rsidR="007A2ECE" w:rsidRDefault="00D32F5E">
      <w:r>
        <w:t>- ostale usluge koje se odnose na uslugu čišćenja i troškove zajedničke potrošnje u zakupljenom poslovnom prostoru u Zagrebu, usluge arhiviranja, medijskog praćenja objava, usluge pranja službenih voz</w:t>
      </w:r>
      <w:r>
        <w:t xml:space="preserve">ila, usluge održavanja sustava protuprovalne zaštite i dojave požara, </w:t>
      </w:r>
      <w:proofErr w:type="spellStart"/>
      <w:r>
        <w:t>Multisport</w:t>
      </w:r>
      <w:proofErr w:type="spellEnd"/>
      <w:r>
        <w:t xml:space="preserve"> i dr. </w:t>
      </w:r>
    </w:p>
    <w:p w:rsidR="007A2ECE" w:rsidRDefault="00D32F5E">
      <w:r>
        <w:rPr>
          <w:b/>
        </w:rPr>
        <w:t xml:space="preserve">Ostali nespomenuti rashodi poslovanja (konto 329) </w:t>
      </w:r>
      <w:r>
        <w:t>se najvećim dijelom odnose na:</w:t>
      </w:r>
    </w:p>
    <w:p w:rsidR="007A2ECE" w:rsidRDefault="00D32F5E">
      <w:r>
        <w:t>- premije osiguranja - osiguranje prijevoznih sredstava, imovine i zaposlenika</w:t>
      </w:r>
    </w:p>
    <w:p w:rsidR="007A2ECE" w:rsidRDefault="00D32F5E">
      <w:r>
        <w:t>-  repre</w:t>
      </w:r>
      <w:r>
        <w:t xml:space="preserve">zentaciju - organizacija Dana sigurnijeg interneta za djecu, Dana novih tehnologija, Dana tržišta elektroničkih komunikacija, Dana tržišta željezničkih usluga, Dana tržišta poštanskih usluga, BCO radionice, IRG </w:t>
      </w:r>
      <w:proofErr w:type="spellStart"/>
      <w:r>
        <w:t>Rail</w:t>
      </w:r>
      <w:proofErr w:type="spellEnd"/>
      <w:r>
        <w:t xml:space="preserve"> radionice, Međunarodne konferencije „Pri</w:t>
      </w:r>
      <w:r>
        <w:t>stupačna budućnost“, godišnjeg skupa s udrugama za zaštitu potrošača, sastanka radnih skupina HCM sporazuma, strateških sastanaka, domjenka za vanjske suradnike, ugošćavanje i pokloni za poslovne partnere</w:t>
      </w:r>
    </w:p>
    <w:p w:rsidR="007A2ECE" w:rsidRDefault="00D32F5E">
      <w:r>
        <w:t xml:space="preserve">- pristojbe i naknade – naknada za pravo uporabe </w:t>
      </w:r>
      <w:proofErr w:type="spellStart"/>
      <w:r>
        <w:t>ra</w:t>
      </w:r>
      <w:r>
        <w:t>diofrekvencijskog</w:t>
      </w:r>
      <w:proofErr w:type="spellEnd"/>
      <w:r>
        <w:t xml:space="preserve"> spektra za KMS-ove i KMP-ove, HRT pristojba za TV i radio prijamnike, javnobilježničke pristojbe, sudske pristojbe, naknade zbog nezapošljavanja dovoljnog broja osoba s invaliditetom i dr.</w:t>
      </w:r>
    </w:p>
    <w:p w:rsidR="007A2ECE" w:rsidRDefault="00D32F5E">
      <w:r>
        <w:t xml:space="preserve">- članarine i norme – članarina za IRG - </w:t>
      </w:r>
      <w:proofErr w:type="spellStart"/>
      <w:r>
        <w:t>Independ</w:t>
      </w:r>
      <w:r>
        <w:t>ent</w:t>
      </w:r>
      <w:proofErr w:type="spellEnd"/>
      <w:r>
        <w:t xml:space="preserve"> </w:t>
      </w:r>
      <w:proofErr w:type="spellStart"/>
      <w:r>
        <w:t>Regulators</w:t>
      </w:r>
      <w:proofErr w:type="spellEnd"/>
      <w:r>
        <w:t xml:space="preserve"> Group, Elektrotehničko društvo Zagreb, Hrvatsko društvo za transportno pravo, Hrvatski zavod za norme, Institut za javnu upravu, Hrvatsko društvo za pravo i politiku tržišnog natjecanja, MIPRO, RIPE NCC i dr.</w:t>
      </w:r>
    </w:p>
    <w:p w:rsidR="007A2ECE" w:rsidRDefault="007A2ECE"/>
    <w:p w:rsidR="007A2ECE" w:rsidRDefault="00D32F5E">
      <w:pPr>
        <w:keepNext/>
        <w:spacing w:line="240" w:lineRule="auto"/>
        <w:jc w:val="center"/>
      </w:pPr>
      <w:r>
        <w:rPr>
          <w:sz w:val="28"/>
        </w:rPr>
        <w:lastRenderedPageBreak/>
        <w:t>Bilješka 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34</w:t>
            </w:r>
          </w:p>
        </w:tc>
        <w:tc>
          <w:tcPr>
            <w:tcW w:w="3180" w:type="dxa"/>
            <w:tcMar>
              <w:top w:w="0" w:type="dxa"/>
              <w:bottom w:w="0" w:type="dxa"/>
            </w:tcMar>
            <w:vAlign w:val="center"/>
          </w:tcPr>
          <w:p w:rsidR="007A2ECE" w:rsidRDefault="00D32F5E">
            <w:pPr>
              <w:keepNext/>
              <w:keepLines/>
              <w:spacing w:after="0" w:line="240" w:lineRule="auto"/>
            </w:pPr>
            <w:r>
              <w:rPr>
                <w:sz w:val="18"/>
              </w:rPr>
              <w:t>Financijski rashodi (šifre 341+342+343)</w:t>
            </w:r>
          </w:p>
        </w:tc>
        <w:tc>
          <w:tcPr>
            <w:tcW w:w="700" w:type="dxa"/>
            <w:tcMar>
              <w:top w:w="0" w:type="dxa"/>
              <w:bottom w:w="0" w:type="dxa"/>
            </w:tcMar>
            <w:vAlign w:val="center"/>
          </w:tcPr>
          <w:p w:rsidR="007A2ECE" w:rsidRDefault="00D32F5E">
            <w:pPr>
              <w:keepNext/>
              <w:keepLines/>
              <w:spacing w:after="0" w:line="240" w:lineRule="auto"/>
            </w:pPr>
            <w:r>
              <w:rPr>
                <w:sz w:val="18"/>
              </w:rPr>
              <w:t>34</w:t>
            </w:r>
          </w:p>
        </w:tc>
        <w:tc>
          <w:tcPr>
            <w:tcW w:w="1860" w:type="dxa"/>
            <w:tcMar>
              <w:top w:w="0" w:type="dxa"/>
              <w:bottom w:w="0" w:type="dxa"/>
            </w:tcMar>
            <w:vAlign w:val="center"/>
          </w:tcPr>
          <w:p w:rsidR="007A2ECE" w:rsidRDefault="00D32F5E">
            <w:pPr>
              <w:keepNext/>
              <w:keepLines/>
              <w:spacing w:after="0" w:line="240" w:lineRule="auto"/>
              <w:jc w:val="right"/>
            </w:pPr>
            <w:r>
              <w:rPr>
                <w:sz w:val="18"/>
              </w:rPr>
              <w:t>5.345,27</w:t>
            </w:r>
          </w:p>
        </w:tc>
        <w:tc>
          <w:tcPr>
            <w:tcW w:w="1860" w:type="dxa"/>
            <w:tcMar>
              <w:top w:w="0" w:type="dxa"/>
              <w:bottom w:w="0" w:type="dxa"/>
            </w:tcMar>
            <w:vAlign w:val="center"/>
          </w:tcPr>
          <w:p w:rsidR="007A2ECE" w:rsidRDefault="00D32F5E">
            <w:pPr>
              <w:keepNext/>
              <w:keepLines/>
              <w:spacing w:after="0" w:line="240" w:lineRule="auto"/>
              <w:jc w:val="right"/>
            </w:pPr>
            <w:r>
              <w:rPr>
                <w:sz w:val="18"/>
              </w:rPr>
              <w:t>20.082,25</w:t>
            </w:r>
          </w:p>
        </w:tc>
        <w:tc>
          <w:tcPr>
            <w:tcW w:w="700" w:type="dxa"/>
            <w:tcMar>
              <w:top w:w="0" w:type="dxa"/>
              <w:bottom w:w="0" w:type="dxa"/>
            </w:tcMar>
            <w:vAlign w:val="center"/>
          </w:tcPr>
          <w:p w:rsidR="007A2ECE" w:rsidRDefault="00D32F5E">
            <w:pPr>
              <w:keepNext/>
              <w:keepLines/>
              <w:spacing w:after="0" w:line="240" w:lineRule="auto"/>
              <w:jc w:val="right"/>
            </w:pPr>
            <w:r>
              <w:rPr>
                <w:sz w:val="18"/>
              </w:rPr>
              <w:t>375,7</w:t>
            </w:r>
          </w:p>
        </w:tc>
      </w:tr>
    </w:tbl>
    <w:p w:rsidR="007A2ECE" w:rsidRDefault="007A2ECE">
      <w:pPr>
        <w:spacing w:after="0"/>
      </w:pPr>
    </w:p>
    <w:p w:rsidR="007A2ECE" w:rsidRDefault="00D32F5E">
      <w:r>
        <w:t>Financijski rashodi su u promatranom razdoblju ostvareni u iznosu od 20.082,25 EUR, što predstavlja povećanje u odnosu na ostvarenje u promatranom razdoblju prethodne godine. Najznačajniji utjecaj na povećanje navedenih rashoda imale su zatezne kamate obra</w:t>
      </w:r>
      <w:r>
        <w:t>čunate i isplaćene zaposleniku temeljem sudske presude za isplatu zaostalih plaća i drugih materijalnih prava. Također, povećani su troškovi bankarskih usluga i usluga platnog prometa.   </w:t>
      </w:r>
    </w:p>
    <w:p w:rsidR="007A2ECE" w:rsidRDefault="007A2ECE"/>
    <w:p w:rsidR="007A2ECE" w:rsidRDefault="00D32F5E">
      <w:pPr>
        <w:keepNext/>
        <w:spacing w:line="240" w:lineRule="auto"/>
        <w:jc w:val="center"/>
      </w:pPr>
      <w:r>
        <w:rPr>
          <w:sz w:val="28"/>
        </w:rPr>
        <w:t>Bilješka 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w:t>
            </w:r>
            <w:r>
              <w:rPr>
                <w:b/>
                <w:sz w:val="18"/>
              </w:rPr>
              <w:t>štajnom razdoblju prethodne godine</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96</w:t>
            </w:r>
          </w:p>
        </w:tc>
        <w:tc>
          <w:tcPr>
            <w:tcW w:w="3180" w:type="dxa"/>
            <w:tcMar>
              <w:top w:w="0" w:type="dxa"/>
              <w:bottom w:w="0" w:type="dxa"/>
            </w:tcMar>
            <w:vAlign w:val="center"/>
          </w:tcPr>
          <w:p w:rsidR="007A2ECE" w:rsidRDefault="00D32F5E">
            <w:pPr>
              <w:keepNext/>
              <w:keepLines/>
              <w:spacing w:after="0" w:line="240" w:lineRule="auto"/>
            </w:pPr>
            <w:r>
              <w:rPr>
                <w:sz w:val="18"/>
              </w:rPr>
              <w:t>Obračunati prihodi poslovanja - nenaplaćeni</w:t>
            </w:r>
          </w:p>
        </w:tc>
        <w:tc>
          <w:tcPr>
            <w:tcW w:w="700" w:type="dxa"/>
            <w:tcMar>
              <w:top w:w="0" w:type="dxa"/>
              <w:bottom w:w="0" w:type="dxa"/>
            </w:tcMar>
            <w:vAlign w:val="center"/>
          </w:tcPr>
          <w:p w:rsidR="007A2ECE" w:rsidRDefault="00D32F5E">
            <w:pPr>
              <w:keepNext/>
              <w:keepLines/>
              <w:spacing w:after="0" w:line="240" w:lineRule="auto"/>
            </w:pPr>
            <w:r>
              <w:rPr>
                <w:sz w:val="18"/>
              </w:rPr>
              <w:t>96</w:t>
            </w:r>
          </w:p>
        </w:tc>
        <w:tc>
          <w:tcPr>
            <w:tcW w:w="1860" w:type="dxa"/>
            <w:tcMar>
              <w:top w:w="0" w:type="dxa"/>
              <w:bottom w:w="0" w:type="dxa"/>
            </w:tcMar>
            <w:vAlign w:val="center"/>
          </w:tcPr>
          <w:p w:rsidR="007A2ECE" w:rsidRDefault="00D32F5E">
            <w:pPr>
              <w:keepNext/>
              <w:keepLines/>
              <w:spacing w:after="0" w:line="240" w:lineRule="auto"/>
              <w:jc w:val="right"/>
            </w:pPr>
            <w:r>
              <w:rPr>
                <w:sz w:val="18"/>
              </w:rPr>
              <w:t>4.746.279,90</w:t>
            </w:r>
          </w:p>
        </w:tc>
        <w:tc>
          <w:tcPr>
            <w:tcW w:w="1860" w:type="dxa"/>
            <w:tcMar>
              <w:top w:w="0" w:type="dxa"/>
              <w:bottom w:w="0" w:type="dxa"/>
            </w:tcMar>
            <w:vAlign w:val="center"/>
          </w:tcPr>
          <w:p w:rsidR="007A2ECE" w:rsidRDefault="00D32F5E">
            <w:pPr>
              <w:keepNext/>
              <w:keepLines/>
              <w:spacing w:after="0" w:line="240" w:lineRule="auto"/>
              <w:jc w:val="right"/>
            </w:pPr>
            <w:r>
              <w:rPr>
                <w:sz w:val="18"/>
              </w:rPr>
              <w:t>4.579.475,63</w:t>
            </w:r>
          </w:p>
        </w:tc>
        <w:tc>
          <w:tcPr>
            <w:tcW w:w="700" w:type="dxa"/>
            <w:tcMar>
              <w:top w:w="0" w:type="dxa"/>
              <w:bottom w:w="0" w:type="dxa"/>
            </w:tcMar>
            <w:vAlign w:val="center"/>
          </w:tcPr>
          <w:p w:rsidR="007A2ECE" w:rsidRDefault="00D32F5E">
            <w:pPr>
              <w:keepNext/>
              <w:keepLines/>
              <w:spacing w:after="0" w:line="240" w:lineRule="auto"/>
              <w:jc w:val="right"/>
            </w:pPr>
            <w:r>
              <w:rPr>
                <w:sz w:val="18"/>
              </w:rPr>
              <w:t>96,5</w:t>
            </w:r>
          </w:p>
        </w:tc>
      </w:tr>
    </w:tbl>
    <w:p w:rsidR="007A2ECE" w:rsidRDefault="007A2ECE">
      <w:pPr>
        <w:spacing w:after="0"/>
      </w:pPr>
    </w:p>
    <w:p w:rsidR="007A2ECE" w:rsidRDefault="00D32F5E">
      <w:r>
        <w:t xml:space="preserve">Obračunati prihodi poslovanja su smanjeni u odnosu na ostvarenje u promatranom razdoblju prethodne godine zbog promjene u dinamici izdavanja i naplate obročnih računa za naknadu za uporabu </w:t>
      </w:r>
      <w:proofErr w:type="spellStart"/>
      <w:r>
        <w:t>radiofrekvencijskog</w:t>
      </w:r>
      <w:proofErr w:type="spellEnd"/>
      <w:r>
        <w:t xml:space="preserve"> spektra i za naknadu za obavljanje drugih poslo</w:t>
      </w:r>
      <w:r>
        <w:t>va HAKOM-a u području elektroničkih komunikacija.</w:t>
      </w:r>
    </w:p>
    <w:p w:rsidR="007A2ECE" w:rsidRDefault="007A2ECE"/>
    <w:p w:rsidR="007A2ECE" w:rsidRDefault="00D32F5E">
      <w:pPr>
        <w:keepNext/>
        <w:spacing w:line="240" w:lineRule="auto"/>
        <w:jc w:val="center"/>
      </w:pPr>
      <w:r>
        <w:rPr>
          <w:sz w:val="28"/>
        </w:rPr>
        <w:t>Bilješka 10.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42</w:t>
            </w:r>
          </w:p>
        </w:tc>
        <w:tc>
          <w:tcPr>
            <w:tcW w:w="3180" w:type="dxa"/>
            <w:tcMar>
              <w:top w:w="0" w:type="dxa"/>
              <w:bottom w:w="0" w:type="dxa"/>
            </w:tcMar>
            <w:vAlign w:val="center"/>
          </w:tcPr>
          <w:p w:rsidR="007A2ECE" w:rsidRDefault="00D32F5E">
            <w:pPr>
              <w:keepNext/>
              <w:keepLines/>
              <w:spacing w:after="0" w:line="240" w:lineRule="auto"/>
            </w:pPr>
            <w:r>
              <w:rPr>
                <w:sz w:val="18"/>
              </w:rPr>
              <w:t xml:space="preserve">Rashodi za nabavu proizvedene </w:t>
            </w:r>
            <w:r>
              <w:rPr>
                <w:sz w:val="18"/>
              </w:rPr>
              <w:t>dugotrajne imovine (šifre 421+422+423+424+425+426)</w:t>
            </w:r>
          </w:p>
        </w:tc>
        <w:tc>
          <w:tcPr>
            <w:tcW w:w="700" w:type="dxa"/>
            <w:tcMar>
              <w:top w:w="0" w:type="dxa"/>
              <w:bottom w:w="0" w:type="dxa"/>
            </w:tcMar>
            <w:vAlign w:val="center"/>
          </w:tcPr>
          <w:p w:rsidR="007A2ECE" w:rsidRDefault="00D32F5E">
            <w:pPr>
              <w:keepNext/>
              <w:keepLines/>
              <w:spacing w:after="0" w:line="240" w:lineRule="auto"/>
            </w:pPr>
            <w:r>
              <w:rPr>
                <w:sz w:val="18"/>
              </w:rPr>
              <w:t>42</w:t>
            </w:r>
          </w:p>
        </w:tc>
        <w:tc>
          <w:tcPr>
            <w:tcW w:w="1860" w:type="dxa"/>
            <w:tcMar>
              <w:top w:w="0" w:type="dxa"/>
              <w:bottom w:w="0" w:type="dxa"/>
            </w:tcMar>
            <w:vAlign w:val="center"/>
          </w:tcPr>
          <w:p w:rsidR="007A2ECE" w:rsidRDefault="00D32F5E">
            <w:pPr>
              <w:keepNext/>
              <w:keepLines/>
              <w:spacing w:after="0" w:line="240" w:lineRule="auto"/>
              <w:jc w:val="right"/>
            </w:pPr>
            <w:r>
              <w:rPr>
                <w:sz w:val="18"/>
              </w:rPr>
              <w:t>822.727,87</w:t>
            </w:r>
          </w:p>
        </w:tc>
        <w:tc>
          <w:tcPr>
            <w:tcW w:w="1860" w:type="dxa"/>
            <w:tcMar>
              <w:top w:w="0" w:type="dxa"/>
              <w:bottom w:w="0" w:type="dxa"/>
            </w:tcMar>
            <w:vAlign w:val="center"/>
          </w:tcPr>
          <w:p w:rsidR="007A2ECE" w:rsidRDefault="00D32F5E">
            <w:pPr>
              <w:keepNext/>
              <w:keepLines/>
              <w:spacing w:after="0" w:line="240" w:lineRule="auto"/>
              <w:jc w:val="right"/>
            </w:pPr>
            <w:r>
              <w:rPr>
                <w:sz w:val="18"/>
              </w:rPr>
              <w:t>646.837,38</w:t>
            </w:r>
          </w:p>
        </w:tc>
        <w:tc>
          <w:tcPr>
            <w:tcW w:w="700" w:type="dxa"/>
            <w:tcMar>
              <w:top w:w="0" w:type="dxa"/>
              <w:bottom w:w="0" w:type="dxa"/>
            </w:tcMar>
            <w:vAlign w:val="center"/>
          </w:tcPr>
          <w:p w:rsidR="007A2ECE" w:rsidRDefault="00D32F5E">
            <w:pPr>
              <w:keepNext/>
              <w:keepLines/>
              <w:spacing w:after="0" w:line="240" w:lineRule="auto"/>
              <w:jc w:val="right"/>
            </w:pPr>
            <w:r>
              <w:rPr>
                <w:sz w:val="18"/>
              </w:rPr>
              <w:t>78,6</w:t>
            </w:r>
          </w:p>
        </w:tc>
      </w:tr>
    </w:tbl>
    <w:p w:rsidR="007A2ECE" w:rsidRDefault="007A2ECE">
      <w:pPr>
        <w:spacing w:after="0"/>
      </w:pPr>
    </w:p>
    <w:p w:rsidR="007A2ECE" w:rsidRDefault="00D32F5E">
      <w:r>
        <w:t xml:space="preserve">Rashodi za nabavu proizvedene dugotrajne imovine su ostvareni u iznosu od 646.837,38 EUR te se odnose na rashode za nabavu uredske opreme i namještaja (računala, monitori, računalni mrežni preklopnici i poslužitelj, sustav </w:t>
      </w:r>
      <w:proofErr w:type="spellStart"/>
      <w:r>
        <w:t>vatrozida</w:t>
      </w:r>
      <w:proofErr w:type="spellEnd"/>
      <w:r>
        <w:t>, sustav besprekidnog na</w:t>
      </w:r>
      <w:r>
        <w:t>pajanja, prijenosna baterijska napajanja, uređaji za pregled zauzetosti dvorana, uredski namještaj, oprema za učionicu i samostojeći akustični paravani za poslovni prostor), komunikacijske opreme (mobilni uređaji za zaposlenike i mikrovalne radijske veze n</w:t>
      </w:r>
      <w:r>
        <w:t xml:space="preserve">a relaciji KMS Osijek – KMP </w:t>
      </w:r>
      <w:proofErr w:type="spellStart"/>
      <w:r>
        <w:t>Degman</w:t>
      </w:r>
      <w:proofErr w:type="spellEnd"/>
      <w:r>
        <w:t xml:space="preserve"> i Sljeme – KMP Zrinska gora), opreme za održavanje i zaštitu (klima uređaji, kamera za server sobu), instrumenata i uređaja (besprekidno napajanje UPS uređaja, upravljačke jedinice antena, skener za GSM/WCDMA/LTE/NR mreže</w:t>
      </w:r>
      <w:r>
        <w:t xml:space="preserve">) te su evidentirana ulaganja u računalne programe (softver MATLAB, sustav za e-prikupljanje podataka, sustav </w:t>
      </w:r>
      <w:proofErr w:type="spellStart"/>
      <w:r>
        <w:t>Rohde</w:t>
      </w:r>
      <w:proofErr w:type="spellEnd"/>
      <w:r>
        <w:t xml:space="preserve"> &amp; Schwarz </w:t>
      </w:r>
      <w:proofErr w:type="spellStart"/>
      <w:r>
        <w:t>SmartAnalytics</w:t>
      </w:r>
      <w:proofErr w:type="spellEnd"/>
      <w:r>
        <w:t xml:space="preserve"> i sustav za objedinjeno prikupljanje podataka).  </w:t>
      </w:r>
    </w:p>
    <w:p w:rsidR="007A2ECE" w:rsidRDefault="007A2ECE"/>
    <w:p w:rsidR="007A2ECE" w:rsidRDefault="00D32F5E">
      <w:pPr>
        <w:keepNext/>
        <w:spacing w:line="240" w:lineRule="auto"/>
        <w:jc w:val="center"/>
      </w:pPr>
      <w:r>
        <w:rPr>
          <w:sz w:val="28"/>
        </w:rPr>
        <w:lastRenderedPageBreak/>
        <w:t>Bilješka 11.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w:t>
            </w:r>
            <w:r>
              <w:rPr>
                <w:b/>
                <w:sz w:val="18"/>
              </w:rPr>
              <w:t>zvještajnom razdoblju prethodne godine</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45</w:t>
            </w:r>
          </w:p>
        </w:tc>
        <w:tc>
          <w:tcPr>
            <w:tcW w:w="3180" w:type="dxa"/>
            <w:tcMar>
              <w:top w:w="0" w:type="dxa"/>
              <w:bottom w:w="0" w:type="dxa"/>
            </w:tcMar>
            <w:vAlign w:val="center"/>
          </w:tcPr>
          <w:p w:rsidR="007A2ECE" w:rsidRDefault="00D32F5E">
            <w:pPr>
              <w:keepNext/>
              <w:keepLines/>
              <w:spacing w:after="0" w:line="240" w:lineRule="auto"/>
            </w:pPr>
            <w:r>
              <w:rPr>
                <w:sz w:val="18"/>
              </w:rPr>
              <w:t>Rashodi za dodatna ulaganja na nefinancijskoj imovini (šifre 451 do 454)</w:t>
            </w:r>
          </w:p>
        </w:tc>
        <w:tc>
          <w:tcPr>
            <w:tcW w:w="700" w:type="dxa"/>
            <w:tcMar>
              <w:top w:w="0" w:type="dxa"/>
              <w:bottom w:w="0" w:type="dxa"/>
            </w:tcMar>
            <w:vAlign w:val="center"/>
          </w:tcPr>
          <w:p w:rsidR="007A2ECE" w:rsidRDefault="00D32F5E">
            <w:pPr>
              <w:keepNext/>
              <w:keepLines/>
              <w:spacing w:after="0" w:line="240" w:lineRule="auto"/>
            </w:pPr>
            <w:r>
              <w:rPr>
                <w:sz w:val="18"/>
              </w:rPr>
              <w:t>45</w:t>
            </w:r>
          </w:p>
        </w:tc>
        <w:tc>
          <w:tcPr>
            <w:tcW w:w="1860" w:type="dxa"/>
            <w:tcMar>
              <w:top w:w="0" w:type="dxa"/>
              <w:bottom w:w="0" w:type="dxa"/>
            </w:tcMar>
            <w:vAlign w:val="center"/>
          </w:tcPr>
          <w:p w:rsidR="007A2ECE" w:rsidRDefault="00D32F5E">
            <w:pPr>
              <w:keepNext/>
              <w:keepLines/>
              <w:spacing w:after="0" w:line="240" w:lineRule="auto"/>
              <w:jc w:val="right"/>
            </w:pPr>
            <w:r>
              <w:rPr>
                <w:sz w:val="18"/>
              </w:rPr>
              <w:t>317.379,27</w:t>
            </w:r>
          </w:p>
        </w:tc>
        <w:tc>
          <w:tcPr>
            <w:tcW w:w="1860" w:type="dxa"/>
            <w:tcMar>
              <w:top w:w="0" w:type="dxa"/>
              <w:bottom w:w="0" w:type="dxa"/>
            </w:tcMar>
            <w:vAlign w:val="center"/>
          </w:tcPr>
          <w:p w:rsidR="007A2ECE" w:rsidRDefault="00D32F5E">
            <w:pPr>
              <w:keepNext/>
              <w:keepLines/>
              <w:spacing w:after="0" w:line="240" w:lineRule="auto"/>
              <w:jc w:val="right"/>
            </w:pPr>
            <w:r>
              <w:rPr>
                <w:sz w:val="18"/>
              </w:rPr>
              <w:t>218.388,99</w:t>
            </w:r>
          </w:p>
        </w:tc>
        <w:tc>
          <w:tcPr>
            <w:tcW w:w="700" w:type="dxa"/>
            <w:tcMar>
              <w:top w:w="0" w:type="dxa"/>
              <w:bottom w:w="0" w:type="dxa"/>
            </w:tcMar>
            <w:vAlign w:val="center"/>
          </w:tcPr>
          <w:p w:rsidR="007A2ECE" w:rsidRDefault="00D32F5E">
            <w:pPr>
              <w:keepNext/>
              <w:keepLines/>
              <w:spacing w:after="0" w:line="240" w:lineRule="auto"/>
              <w:jc w:val="right"/>
            </w:pPr>
            <w:r>
              <w:rPr>
                <w:sz w:val="18"/>
              </w:rPr>
              <w:t>68,8</w:t>
            </w:r>
          </w:p>
        </w:tc>
      </w:tr>
    </w:tbl>
    <w:p w:rsidR="007A2ECE" w:rsidRDefault="007A2ECE">
      <w:pPr>
        <w:spacing w:after="0"/>
      </w:pPr>
    </w:p>
    <w:p w:rsidR="007A2ECE" w:rsidRDefault="00D32F5E">
      <w:r>
        <w:t xml:space="preserve">Rashodi za dodatna ulaganja na nefinancijskoj imovini su realizirani u iznosu od 218.388,99 EUR te ih čine dodatna ulaganja na građevinskim objektima (radovi na poboljšanju uzemljenja KMP-a </w:t>
      </w:r>
      <w:proofErr w:type="spellStart"/>
      <w:r>
        <w:t>Osorščica</w:t>
      </w:r>
      <w:proofErr w:type="spellEnd"/>
      <w:r>
        <w:t xml:space="preserve">), opremi (nadogradnja računalnih poslužitelja, sustava </w:t>
      </w:r>
      <w:proofErr w:type="spellStart"/>
      <w:r>
        <w:t>v</w:t>
      </w:r>
      <w:r>
        <w:t>atrozida</w:t>
      </w:r>
      <w:proofErr w:type="spellEnd"/>
      <w:r>
        <w:t xml:space="preserve"> i sustava za videokonferencije) i dodatna ulaganja za ostalu nefinancijsku imovinu (nadogradnja aplikacije e-Operator, sustava Centralna baza prenesenih brojeva (CABP), aplikacije za snimanje aktivnosti i ponavljanje – RPA robot, Kalkulatora priva</w:t>
      </w:r>
      <w:r>
        <w:t>tnosti, web portala HAKOM-a, sustava Cisco ISE Plus, sustava za analizu tržišta, sustava za e-prikupljanje podataka, aplikacije BI za vizualizaciju i analizu podataka, aplikacije za evidenciju radnog vremena te nadogradnja programa Business Central).  </w:t>
      </w:r>
    </w:p>
    <w:p w:rsidR="007A2ECE" w:rsidRDefault="007A2ECE"/>
    <w:p w:rsidR="007A2ECE" w:rsidRDefault="00D32F5E">
      <w:pPr>
        <w:keepNext/>
        <w:spacing w:line="240" w:lineRule="auto"/>
        <w:jc w:val="center"/>
      </w:pPr>
      <w:r>
        <w:rPr>
          <w:b/>
          <w:sz w:val="28"/>
        </w:rPr>
        <w:t>Bi</w:t>
      </w:r>
      <w:r>
        <w:rPr>
          <w:b/>
          <w:sz w:val="28"/>
        </w:rPr>
        <w:t>lanca</w:t>
      </w:r>
    </w:p>
    <w:p w:rsidR="007A2ECE" w:rsidRDefault="00D32F5E">
      <w:pPr>
        <w:keepNext/>
        <w:spacing w:line="240" w:lineRule="auto"/>
        <w:jc w:val="center"/>
      </w:pPr>
      <w:r>
        <w:rPr>
          <w:sz w:val="28"/>
        </w:rPr>
        <w:t>Bilješka 12.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01</w:t>
            </w:r>
          </w:p>
        </w:tc>
        <w:tc>
          <w:tcPr>
            <w:tcW w:w="3180" w:type="dxa"/>
            <w:tcMar>
              <w:top w:w="0" w:type="dxa"/>
              <w:bottom w:w="0" w:type="dxa"/>
            </w:tcMar>
            <w:vAlign w:val="center"/>
          </w:tcPr>
          <w:p w:rsidR="007A2ECE" w:rsidRDefault="00D32F5E">
            <w:pPr>
              <w:keepNext/>
              <w:keepLines/>
              <w:spacing w:after="0" w:line="240" w:lineRule="auto"/>
            </w:pPr>
            <w:proofErr w:type="spellStart"/>
            <w:r>
              <w:rPr>
                <w:sz w:val="18"/>
              </w:rPr>
              <w:t>Neproizvedena</w:t>
            </w:r>
            <w:proofErr w:type="spellEnd"/>
            <w:r>
              <w:rPr>
                <w:sz w:val="18"/>
              </w:rPr>
              <w:t xml:space="preserve"> dugotrajna imovina (šifre 011+012-019)</w:t>
            </w:r>
          </w:p>
        </w:tc>
        <w:tc>
          <w:tcPr>
            <w:tcW w:w="700" w:type="dxa"/>
            <w:tcMar>
              <w:top w:w="0" w:type="dxa"/>
              <w:bottom w:w="0" w:type="dxa"/>
            </w:tcMar>
            <w:vAlign w:val="center"/>
          </w:tcPr>
          <w:p w:rsidR="007A2ECE" w:rsidRDefault="00D32F5E">
            <w:pPr>
              <w:keepNext/>
              <w:keepLines/>
              <w:spacing w:after="0" w:line="240" w:lineRule="auto"/>
            </w:pPr>
            <w:r>
              <w:rPr>
                <w:sz w:val="18"/>
              </w:rPr>
              <w:t>01</w:t>
            </w:r>
          </w:p>
        </w:tc>
        <w:tc>
          <w:tcPr>
            <w:tcW w:w="1860" w:type="dxa"/>
            <w:tcMar>
              <w:top w:w="0" w:type="dxa"/>
              <w:bottom w:w="0" w:type="dxa"/>
            </w:tcMar>
            <w:vAlign w:val="center"/>
          </w:tcPr>
          <w:p w:rsidR="007A2ECE" w:rsidRDefault="00D32F5E">
            <w:pPr>
              <w:keepNext/>
              <w:keepLines/>
              <w:spacing w:after="0" w:line="240" w:lineRule="auto"/>
              <w:jc w:val="right"/>
            </w:pPr>
            <w:r>
              <w:rPr>
                <w:sz w:val="18"/>
              </w:rPr>
              <w:t>189.429,82</w:t>
            </w:r>
          </w:p>
        </w:tc>
        <w:tc>
          <w:tcPr>
            <w:tcW w:w="1860" w:type="dxa"/>
            <w:tcMar>
              <w:top w:w="0" w:type="dxa"/>
              <w:bottom w:w="0" w:type="dxa"/>
            </w:tcMar>
            <w:vAlign w:val="center"/>
          </w:tcPr>
          <w:p w:rsidR="007A2ECE" w:rsidRDefault="00D32F5E">
            <w:pPr>
              <w:keepNext/>
              <w:keepLines/>
              <w:spacing w:after="0" w:line="240" w:lineRule="auto"/>
              <w:jc w:val="right"/>
            </w:pPr>
            <w:r>
              <w:rPr>
                <w:sz w:val="18"/>
              </w:rPr>
              <w:t>184.593,39</w:t>
            </w:r>
          </w:p>
        </w:tc>
        <w:tc>
          <w:tcPr>
            <w:tcW w:w="700" w:type="dxa"/>
            <w:tcMar>
              <w:top w:w="0" w:type="dxa"/>
              <w:bottom w:w="0" w:type="dxa"/>
            </w:tcMar>
            <w:vAlign w:val="center"/>
          </w:tcPr>
          <w:p w:rsidR="007A2ECE" w:rsidRDefault="00D32F5E">
            <w:pPr>
              <w:keepNext/>
              <w:keepLines/>
              <w:spacing w:after="0" w:line="240" w:lineRule="auto"/>
              <w:jc w:val="right"/>
            </w:pPr>
            <w:r>
              <w:rPr>
                <w:sz w:val="18"/>
              </w:rPr>
              <w:t>97,4</w:t>
            </w:r>
          </w:p>
        </w:tc>
      </w:tr>
    </w:tbl>
    <w:p w:rsidR="007A2ECE" w:rsidRDefault="007A2ECE">
      <w:pPr>
        <w:spacing w:after="0"/>
      </w:pPr>
    </w:p>
    <w:p w:rsidR="007A2ECE" w:rsidRDefault="00D32F5E">
      <w:proofErr w:type="spellStart"/>
      <w:r>
        <w:t>Neproizvedena</w:t>
      </w:r>
      <w:proofErr w:type="spellEnd"/>
      <w:r>
        <w:t xml:space="preserve"> dugotrajna imovina je evidentirana u iznosu knjigovodstvene vrijednosti od 184.593,39 EUR. Na podskupini 011 – Materijalna imovina – prirodna bogatstva su evidentirana građevinska zemljišta u Splitu, Otoku, </w:t>
      </w:r>
      <w:proofErr w:type="spellStart"/>
      <w:r>
        <w:t>Kostreni</w:t>
      </w:r>
      <w:proofErr w:type="spellEnd"/>
      <w:r>
        <w:t xml:space="preserve"> i Ravnoj gori. Podskupinu </w:t>
      </w:r>
      <w:r>
        <w:t xml:space="preserve">012 – Nematerijalna imovina čine trajne licence (za mjerni sustav </w:t>
      </w:r>
      <w:proofErr w:type="spellStart"/>
      <w:r>
        <w:t>Keysight</w:t>
      </w:r>
      <w:proofErr w:type="spellEnd"/>
      <w:r>
        <w:t xml:space="preserve"> NEMO </w:t>
      </w:r>
      <w:proofErr w:type="spellStart"/>
      <w:r>
        <w:t>Outdoor</w:t>
      </w:r>
      <w:proofErr w:type="spellEnd"/>
      <w:r>
        <w:t xml:space="preserve">, ABBYY </w:t>
      </w:r>
      <w:proofErr w:type="spellStart"/>
      <w:r>
        <w:t>FineReader</w:t>
      </w:r>
      <w:proofErr w:type="spellEnd"/>
      <w:r>
        <w:t xml:space="preserve"> PDF </w:t>
      </w:r>
      <w:proofErr w:type="spellStart"/>
      <w:r>
        <w:t>Corporate</w:t>
      </w:r>
      <w:proofErr w:type="spellEnd"/>
      <w:r>
        <w:t xml:space="preserve">, </w:t>
      </w:r>
      <w:proofErr w:type="spellStart"/>
      <w:r>
        <w:t>Centrix</w:t>
      </w:r>
      <w:proofErr w:type="spellEnd"/>
      <w:r>
        <w:t xml:space="preserve">, </w:t>
      </w:r>
      <w:proofErr w:type="spellStart"/>
      <w:r>
        <w:t>HRNet</w:t>
      </w:r>
      <w:proofErr w:type="spellEnd"/>
      <w:r>
        <w:t xml:space="preserve"> i DR infrastrukturu za Centralnu bazu prenesenih brojeva), ulaganja na tuđoj imovini radi prava korištenja (softver za </w:t>
      </w:r>
      <w:proofErr w:type="spellStart"/>
      <w:r>
        <w:t>V</w:t>
      </w:r>
      <w:r>
        <w:t>oIP</w:t>
      </w:r>
      <w:proofErr w:type="spellEnd"/>
      <w:r>
        <w:t xml:space="preserve"> centralu, sustav </w:t>
      </w:r>
      <w:proofErr w:type="spellStart"/>
      <w:r>
        <w:t>VMware</w:t>
      </w:r>
      <w:proofErr w:type="spellEnd"/>
      <w:r>
        <w:t xml:space="preserve"> </w:t>
      </w:r>
      <w:proofErr w:type="spellStart"/>
      <w:r>
        <w:t>vRealize</w:t>
      </w:r>
      <w:proofErr w:type="spellEnd"/>
      <w:r>
        <w:t xml:space="preserve"> </w:t>
      </w:r>
      <w:proofErr w:type="spellStart"/>
      <w:r>
        <w:t>operations</w:t>
      </w:r>
      <w:proofErr w:type="spellEnd"/>
      <w:r>
        <w:t xml:space="preserve">, program za tehnološka računala, sustav oporavka od katastrofe, aplikacija BI za vizualizaciju i analizu podataka) i ostala nematerijalna imovina (aplikativni programski paketi – </w:t>
      </w:r>
      <w:proofErr w:type="spellStart"/>
      <w:r>
        <w:t>Chirplus</w:t>
      </w:r>
      <w:proofErr w:type="spellEnd"/>
      <w:r>
        <w:t xml:space="preserve">, ESRI, </w:t>
      </w:r>
      <w:proofErr w:type="spellStart"/>
      <w:r>
        <w:t>Gisdata</w:t>
      </w:r>
      <w:proofErr w:type="spellEnd"/>
      <w:r>
        <w:t xml:space="preserve"> GSPO </w:t>
      </w:r>
      <w:r>
        <w:t xml:space="preserve">i DTK, </w:t>
      </w:r>
      <w:proofErr w:type="spellStart"/>
      <w:r>
        <w:t>Centrix</w:t>
      </w:r>
      <w:proofErr w:type="spellEnd"/>
      <w:r>
        <w:t xml:space="preserve"> i dr.).</w:t>
      </w:r>
      <w:r>
        <w:br/>
        <w:t xml:space="preserve">Povećanje vrijednosti </w:t>
      </w:r>
      <w:proofErr w:type="spellStart"/>
      <w:r>
        <w:t>neproizvedene</w:t>
      </w:r>
      <w:proofErr w:type="spellEnd"/>
      <w:r>
        <w:t xml:space="preserve"> dugotrajne imovine u odnosu na prethodnu godinu rezultat je nadogradnje aplikacije BI za vizualizaciju i analizu podataka. Temeljem provedenog godišnjeg popisa imovine, obveza i </w:t>
      </w:r>
      <w:proofErr w:type="spellStart"/>
      <w:r>
        <w:t>izvanbilančnih</w:t>
      </w:r>
      <w:proofErr w:type="spellEnd"/>
      <w:r>
        <w:t xml:space="preserve"> zapi</w:t>
      </w:r>
      <w:r>
        <w:t xml:space="preserve">sa te donesene Odluke o rezultatima obavljenog popisa sa stanjem na dan 31. prosinca 2025., rashodovana je i isknjižena ostala nematerijalna imovina od koje se ne očekuju buduće ekonomske koristi. Obračunat je ispravak vrijednosti </w:t>
      </w:r>
      <w:proofErr w:type="spellStart"/>
      <w:r>
        <w:t>neproizvedene</w:t>
      </w:r>
      <w:proofErr w:type="spellEnd"/>
      <w:r>
        <w:t xml:space="preserve"> dugotrajne </w:t>
      </w:r>
      <w:r>
        <w:t>imovine za 2025. </w:t>
      </w:r>
    </w:p>
    <w:p w:rsidR="007A2ECE" w:rsidRDefault="007A2ECE"/>
    <w:p w:rsidR="007A2ECE" w:rsidRDefault="00D32F5E">
      <w:pPr>
        <w:keepNext/>
        <w:spacing w:line="240" w:lineRule="auto"/>
        <w:jc w:val="center"/>
      </w:pPr>
      <w:r>
        <w:rPr>
          <w:sz w:val="28"/>
        </w:rPr>
        <w:lastRenderedPageBreak/>
        <w:t>Bilješka 13.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02</w:t>
            </w:r>
          </w:p>
        </w:tc>
        <w:tc>
          <w:tcPr>
            <w:tcW w:w="3180" w:type="dxa"/>
            <w:tcMar>
              <w:top w:w="0" w:type="dxa"/>
              <w:bottom w:w="0" w:type="dxa"/>
            </w:tcMar>
            <w:vAlign w:val="center"/>
          </w:tcPr>
          <w:p w:rsidR="007A2ECE" w:rsidRDefault="00D32F5E">
            <w:pPr>
              <w:keepNext/>
              <w:keepLines/>
              <w:spacing w:after="0" w:line="240" w:lineRule="auto"/>
            </w:pPr>
            <w:r>
              <w:rPr>
                <w:sz w:val="18"/>
              </w:rPr>
              <w:t>Proizvedena dugotrajna imovina (šifre '021 i 02921' + '022 i 02922' + '023 i 02923' + '024 i 02924' + '025 i 02925' + '026 i 02926')</w:t>
            </w:r>
          </w:p>
        </w:tc>
        <w:tc>
          <w:tcPr>
            <w:tcW w:w="700" w:type="dxa"/>
            <w:tcMar>
              <w:top w:w="0" w:type="dxa"/>
              <w:bottom w:w="0" w:type="dxa"/>
            </w:tcMar>
            <w:vAlign w:val="center"/>
          </w:tcPr>
          <w:p w:rsidR="007A2ECE" w:rsidRDefault="00D32F5E">
            <w:pPr>
              <w:keepNext/>
              <w:keepLines/>
              <w:spacing w:after="0" w:line="240" w:lineRule="auto"/>
            </w:pPr>
            <w:r>
              <w:rPr>
                <w:sz w:val="18"/>
              </w:rPr>
              <w:t>02</w:t>
            </w:r>
          </w:p>
        </w:tc>
        <w:tc>
          <w:tcPr>
            <w:tcW w:w="1860" w:type="dxa"/>
            <w:tcMar>
              <w:top w:w="0" w:type="dxa"/>
              <w:bottom w:w="0" w:type="dxa"/>
            </w:tcMar>
            <w:vAlign w:val="center"/>
          </w:tcPr>
          <w:p w:rsidR="007A2ECE" w:rsidRDefault="00D32F5E">
            <w:pPr>
              <w:keepNext/>
              <w:keepLines/>
              <w:spacing w:after="0" w:line="240" w:lineRule="auto"/>
              <w:jc w:val="right"/>
            </w:pPr>
            <w:r>
              <w:rPr>
                <w:sz w:val="18"/>
              </w:rPr>
              <w:t>4.681.163,14</w:t>
            </w:r>
          </w:p>
        </w:tc>
        <w:tc>
          <w:tcPr>
            <w:tcW w:w="1860" w:type="dxa"/>
            <w:tcMar>
              <w:top w:w="0" w:type="dxa"/>
              <w:bottom w:w="0" w:type="dxa"/>
            </w:tcMar>
            <w:vAlign w:val="center"/>
          </w:tcPr>
          <w:p w:rsidR="007A2ECE" w:rsidRDefault="00D32F5E">
            <w:pPr>
              <w:keepNext/>
              <w:keepLines/>
              <w:spacing w:after="0" w:line="240" w:lineRule="auto"/>
              <w:jc w:val="right"/>
            </w:pPr>
            <w:r>
              <w:rPr>
                <w:sz w:val="18"/>
              </w:rPr>
              <w:t>4.322.988,85</w:t>
            </w:r>
          </w:p>
        </w:tc>
        <w:tc>
          <w:tcPr>
            <w:tcW w:w="700" w:type="dxa"/>
            <w:tcMar>
              <w:top w:w="0" w:type="dxa"/>
              <w:bottom w:w="0" w:type="dxa"/>
            </w:tcMar>
            <w:vAlign w:val="center"/>
          </w:tcPr>
          <w:p w:rsidR="007A2ECE" w:rsidRDefault="00D32F5E">
            <w:pPr>
              <w:keepNext/>
              <w:keepLines/>
              <w:spacing w:after="0" w:line="240" w:lineRule="auto"/>
              <w:jc w:val="right"/>
            </w:pPr>
            <w:r>
              <w:rPr>
                <w:sz w:val="18"/>
              </w:rPr>
              <w:t>92,3</w:t>
            </w:r>
          </w:p>
        </w:tc>
      </w:tr>
    </w:tbl>
    <w:p w:rsidR="007A2ECE" w:rsidRDefault="007A2ECE">
      <w:pPr>
        <w:spacing w:after="0"/>
      </w:pPr>
    </w:p>
    <w:p w:rsidR="007A2ECE" w:rsidRDefault="00D32F5E">
      <w:r>
        <w:t>Proizvedena dugotrajna imovina je evidentirana u iznosu od 4.322.988,85 EUR. Tijekom 2025. kupljena su nova računala i računalna oprema, uredski namještaj, komunikacijska oprema, oprema za održavanje i zaštitu, mjerni uređaji za potrebe mjerenja i kontrole</w:t>
      </w:r>
      <w:r>
        <w:t xml:space="preserve"> </w:t>
      </w:r>
      <w:proofErr w:type="spellStart"/>
      <w:r>
        <w:t>radiofrekvencijskog</w:t>
      </w:r>
      <w:proofErr w:type="spellEnd"/>
      <w:r>
        <w:t xml:space="preserve"> spektra te računalni programi, nadograđen je KMP </w:t>
      </w:r>
      <w:proofErr w:type="spellStart"/>
      <w:r>
        <w:t>Osorščica</w:t>
      </w:r>
      <w:proofErr w:type="spellEnd"/>
      <w:r>
        <w:t xml:space="preserve"> te računalni sustavi i programi (detaljnije navedeno u bilješkama uz obrazac PR-RAS – konta 42 i 45). </w:t>
      </w:r>
    </w:p>
    <w:p w:rsidR="007A2ECE" w:rsidRDefault="00D32F5E">
      <w:r>
        <w:t>Stara proizvedena dugotrajna imovina koja je zamijenjena novom je odlukam</w:t>
      </w:r>
      <w:r>
        <w:t>a rashodovana i isknjižena iz poslovnih knjiga temeljem potvrda o ekološkom zbrinjavanju i primitku u naravi. </w:t>
      </w:r>
      <w:r>
        <w:br/>
        <w:t>Imovina koja je bila evidentirana kao zastarjela, neispravna i neupotrebljiva tijekom godišnjeg popisa nefinancijske imovine sa stanjem na dan 31</w:t>
      </w:r>
      <w:r>
        <w:t>. prosinca 2024., u 2025. je ekološki zbrinuta te je temeljem potvrda o ekološkom zbrinjavanju isknjižena iz poslovnih knjiga. Obračunat je ispravak vrijednosti proizvedene dugotrajne imovine za 2025.</w:t>
      </w:r>
    </w:p>
    <w:p w:rsidR="007A2ECE" w:rsidRDefault="007A2ECE"/>
    <w:p w:rsidR="007A2ECE" w:rsidRDefault="00D32F5E">
      <w:pPr>
        <w:keepNext/>
        <w:spacing w:line="240" w:lineRule="auto"/>
        <w:jc w:val="center"/>
      </w:pPr>
      <w:r>
        <w:rPr>
          <w:sz w:val="28"/>
        </w:rPr>
        <w:t>Bilješka 14.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w:t>
            </w:r>
            <w:r>
              <w:rPr>
                <w:b/>
                <w:sz w:val="18"/>
              </w:rPr>
              <w:t>nje 1. siječnja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05</w:t>
            </w:r>
          </w:p>
        </w:tc>
        <w:tc>
          <w:tcPr>
            <w:tcW w:w="3180" w:type="dxa"/>
            <w:tcMar>
              <w:top w:w="0" w:type="dxa"/>
              <w:bottom w:w="0" w:type="dxa"/>
            </w:tcMar>
            <w:vAlign w:val="center"/>
          </w:tcPr>
          <w:p w:rsidR="007A2ECE" w:rsidRDefault="00D32F5E">
            <w:pPr>
              <w:keepNext/>
              <w:keepLines/>
              <w:spacing w:after="0" w:line="240" w:lineRule="auto"/>
            </w:pPr>
            <w:r>
              <w:rPr>
                <w:sz w:val="18"/>
              </w:rPr>
              <w:t>Dugotrajna nefinancijska imovina u pripremi (šifre 051 do 056)</w:t>
            </w:r>
          </w:p>
        </w:tc>
        <w:tc>
          <w:tcPr>
            <w:tcW w:w="700" w:type="dxa"/>
            <w:tcMar>
              <w:top w:w="0" w:type="dxa"/>
              <w:bottom w:w="0" w:type="dxa"/>
            </w:tcMar>
            <w:vAlign w:val="center"/>
          </w:tcPr>
          <w:p w:rsidR="007A2ECE" w:rsidRDefault="00D32F5E">
            <w:pPr>
              <w:keepNext/>
              <w:keepLines/>
              <w:spacing w:after="0" w:line="240" w:lineRule="auto"/>
            </w:pPr>
            <w:r>
              <w:rPr>
                <w:sz w:val="18"/>
              </w:rPr>
              <w:t>05</w:t>
            </w:r>
          </w:p>
        </w:tc>
        <w:tc>
          <w:tcPr>
            <w:tcW w:w="1860" w:type="dxa"/>
            <w:tcMar>
              <w:top w:w="0" w:type="dxa"/>
              <w:bottom w:w="0" w:type="dxa"/>
            </w:tcMar>
            <w:vAlign w:val="center"/>
          </w:tcPr>
          <w:p w:rsidR="007A2ECE" w:rsidRDefault="00D32F5E">
            <w:pPr>
              <w:keepNext/>
              <w:keepLines/>
              <w:spacing w:after="0" w:line="240" w:lineRule="auto"/>
              <w:jc w:val="right"/>
            </w:pPr>
            <w:r>
              <w:rPr>
                <w:sz w:val="18"/>
              </w:rPr>
              <w:t>106.285,04</w:t>
            </w:r>
          </w:p>
        </w:tc>
        <w:tc>
          <w:tcPr>
            <w:tcW w:w="1860" w:type="dxa"/>
            <w:tcMar>
              <w:top w:w="0" w:type="dxa"/>
              <w:bottom w:w="0" w:type="dxa"/>
            </w:tcMar>
            <w:vAlign w:val="center"/>
          </w:tcPr>
          <w:p w:rsidR="007A2ECE" w:rsidRDefault="00D32F5E">
            <w:pPr>
              <w:keepNext/>
              <w:keepLines/>
              <w:spacing w:after="0" w:line="240" w:lineRule="auto"/>
              <w:jc w:val="right"/>
            </w:pPr>
            <w:r>
              <w:rPr>
                <w:sz w:val="18"/>
              </w:rPr>
              <w:t>118.497,34</w:t>
            </w:r>
          </w:p>
        </w:tc>
        <w:tc>
          <w:tcPr>
            <w:tcW w:w="700" w:type="dxa"/>
            <w:tcMar>
              <w:top w:w="0" w:type="dxa"/>
              <w:bottom w:w="0" w:type="dxa"/>
            </w:tcMar>
            <w:vAlign w:val="center"/>
          </w:tcPr>
          <w:p w:rsidR="007A2ECE" w:rsidRDefault="00D32F5E">
            <w:pPr>
              <w:keepNext/>
              <w:keepLines/>
              <w:spacing w:after="0" w:line="240" w:lineRule="auto"/>
              <w:jc w:val="right"/>
            </w:pPr>
            <w:r>
              <w:rPr>
                <w:sz w:val="18"/>
              </w:rPr>
              <w:t>111,5</w:t>
            </w:r>
          </w:p>
        </w:tc>
      </w:tr>
    </w:tbl>
    <w:p w:rsidR="007A2ECE" w:rsidRDefault="007A2ECE">
      <w:pPr>
        <w:spacing w:after="0"/>
      </w:pPr>
    </w:p>
    <w:p w:rsidR="007A2ECE" w:rsidRDefault="00D32F5E">
      <w:r>
        <w:t xml:space="preserve">Dugotrajna nefinancijska imovina u pripremi je na dan 31. prosinca 2025. evidentirana u iznosu od 118.497,34 EUR, a odnosi se na građevinske objekte u pripremi (izgradnja elektroenergetskih objekata za priključenje KMP-a Veliki </w:t>
      </w:r>
      <w:proofErr w:type="spellStart"/>
      <w:r>
        <w:t>Bokolj</w:t>
      </w:r>
      <w:proofErr w:type="spellEnd"/>
      <w:r>
        <w:t xml:space="preserve"> na elektroenergetsku </w:t>
      </w:r>
      <w:r>
        <w:t>distribucijsku mrežu) i ostalu nematerijalnu proizvedenu imovinu u pripremi (Sustav za objedinjeno prikupljanje podataka – 1. faza). Aktivacija dugotrajne nefinancijske imovine u pripremi se očekuje tijekom 2026.</w:t>
      </w:r>
    </w:p>
    <w:p w:rsidR="007A2ECE" w:rsidRDefault="007A2ECE"/>
    <w:p w:rsidR="007A2ECE" w:rsidRDefault="00D32F5E">
      <w:pPr>
        <w:keepNext/>
        <w:spacing w:line="240" w:lineRule="auto"/>
        <w:jc w:val="center"/>
      </w:pPr>
      <w:r>
        <w:rPr>
          <w:sz w:val="28"/>
        </w:rPr>
        <w:t>Bilješka 15.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w:t>
            </w:r>
            <w:r>
              <w:rPr>
                <w:b/>
                <w:sz w:val="18"/>
              </w:rPr>
              <w:t>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11</w:t>
            </w:r>
          </w:p>
        </w:tc>
        <w:tc>
          <w:tcPr>
            <w:tcW w:w="3180" w:type="dxa"/>
            <w:tcMar>
              <w:top w:w="0" w:type="dxa"/>
              <w:bottom w:w="0" w:type="dxa"/>
            </w:tcMar>
            <w:vAlign w:val="center"/>
          </w:tcPr>
          <w:p w:rsidR="007A2ECE" w:rsidRDefault="00D32F5E">
            <w:pPr>
              <w:keepNext/>
              <w:keepLines/>
              <w:spacing w:after="0" w:line="240" w:lineRule="auto"/>
            </w:pPr>
            <w:r>
              <w:rPr>
                <w:sz w:val="18"/>
              </w:rPr>
              <w:t>Novac u banci i blagajni (šifre 111+112 do 114)</w:t>
            </w:r>
          </w:p>
        </w:tc>
        <w:tc>
          <w:tcPr>
            <w:tcW w:w="700" w:type="dxa"/>
            <w:tcMar>
              <w:top w:w="0" w:type="dxa"/>
              <w:bottom w:w="0" w:type="dxa"/>
            </w:tcMar>
            <w:vAlign w:val="center"/>
          </w:tcPr>
          <w:p w:rsidR="007A2ECE" w:rsidRDefault="00D32F5E">
            <w:pPr>
              <w:keepNext/>
              <w:keepLines/>
              <w:spacing w:after="0" w:line="240" w:lineRule="auto"/>
            </w:pPr>
            <w:r>
              <w:rPr>
                <w:sz w:val="18"/>
              </w:rPr>
              <w:t>11</w:t>
            </w:r>
          </w:p>
        </w:tc>
        <w:tc>
          <w:tcPr>
            <w:tcW w:w="1860" w:type="dxa"/>
            <w:tcMar>
              <w:top w:w="0" w:type="dxa"/>
              <w:bottom w:w="0" w:type="dxa"/>
            </w:tcMar>
            <w:vAlign w:val="center"/>
          </w:tcPr>
          <w:p w:rsidR="007A2ECE" w:rsidRDefault="00D32F5E">
            <w:pPr>
              <w:keepNext/>
              <w:keepLines/>
              <w:spacing w:after="0" w:line="240" w:lineRule="auto"/>
              <w:jc w:val="right"/>
            </w:pPr>
            <w:r>
              <w:rPr>
                <w:sz w:val="18"/>
              </w:rPr>
              <w:t>4.722.442,50</w:t>
            </w:r>
          </w:p>
        </w:tc>
        <w:tc>
          <w:tcPr>
            <w:tcW w:w="1860" w:type="dxa"/>
            <w:tcMar>
              <w:top w:w="0" w:type="dxa"/>
              <w:bottom w:w="0" w:type="dxa"/>
            </w:tcMar>
            <w:vAlign w:val="center"/>
          </w:tcPr>
          <w:p w:rsidR="007A2ECE" w:rsidRDefault="00D32F5E">
            <w:pPr>
              <w:keepNext/>
              <w:keepLines/>
              <w:spacing w:after="0" w:line="240" w:lineRule="auto"/>
              <w:jc w:val="right"/>
            </w:pPr>
            <w:r>
              <w:rPr>
                <w:sz w:val="18"/>
              </w:rPr>
              <w:t>6.192.171,10</w:t>
            </w:r>
          </w:p>
        </w:tc>
        <w:tc>
          <w:tcPr>
            <w:tcW w:w="700" w:type="dxa"/>
            <w:tcMar>
              <w:top w:w="0" w:type="dxa"/>
              <w:bottom w:w="0" w:type="dxa"/>
            </w:tcMar>
            <w:vAlign w:val="center"/>
          </w:tcPr>
          <w:p w:rsidR="007A2ECE" w:rsidRDefault="00D32F5E">
            <w:pPr>
              <w:keepNext/>
              <w:keepLines/>
              <w:spacing w:after="0" w:line="240" w:lineRule="auto"/>
              <w:jc w:val="right"/>
            </w:pPr>
            <w:r>
              <w:rPr>
                <w:sz w:val="18"/>
              </w:rPr>
              <w:t>131,1</w:t>
            </w:r>
          </w:p>
        </w:tc>
      </w:tr>
    </w:tbl>
    <w:p w:rsidR="007A2ECE" w:rsidRDefault="007A2ECE">
      <w:pPr>
        <w:spacing w:after="0"/>
      </w:pPr>
    </w:p>
    <w:p w:rsidR="007A2ECE" w:rsidRDefault="00D32F5E">
      <w:r>
        <w:lastRenderedPageBreak/>
        <w:t>Stanje novca na računu kod tuzemne poslovne banke iznosi 6.192.171,10 EUR te je veće u odnosu na stanje 31. prosinca 2024. (4.722.442,50 EUR) zbog veće naplate prihoda po posebnim propisima tijekom 2025.  </w:t>
      </w:r>
    </w:p>
    <w:p w:rsidR="007A2ECE" w:rsidRDefault="007A2ECE"/>
    <w:p w:rsidR="007A2ECE" w:rsidRDefault="00D32F5E">
      <w:pPr>
        <w:keepNext/>
        <w:spacing w:line="240" w:lineRule="auto"/>
        <w:jc w:val="center"/>
      </w:pPr>
      <w:r>
        <w:rPr>
          <w:sz w:val="28"/>
        </w:rPr>
        <w:t>Bilješka 16.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12</w:t>
            </w:r>
          </w:p>
        </w:tc>
        <w:tc>
          <w:tcPr>
            <w:tcW w:w="3180" w:type="dxa"/>
            <w:tcMar>
              <w:top w:w="0" w:type="dxa"/>
              <w:bottom w:w="0" w:type="dxa"/>
            </w:tcMar>
            <w:vAlign w:val="center"/>
          </w:tcPr>
          <w:p w:rsidR="007A2ECE" w:rsidRDefault="00D32F5E">
            <w:pPr>
              <w:keepNext/>
              <w:keepLines/>
              <w:spacing w:after="0" w:line="240" w:lineRule="auto"/>
            </w:pPr>
            <w:r>
              <w:rPr>
                <w:sz w:val="18"/>
              </w:rPr>
              <w:t xml:space="preserve">Potraživanja za </w:t>
            </w:r>
            <w:proofErr w:type="spellStart"/>
            <w:r>
              <w:rPr>
                <w:sz w:val="18"/>
              </w:rPr>
              <w:t>jamčevne</w:t>
            </w:r>
            <w:proofErr w:type="spellEnd"/>
            <w:r>
              <w:rPr>
                <w:sz w:val="18"/>
              </w:rPr>
              <w:t xml:space="preserve"> </w:t>
            </w:r>
            <w:proofErr w:type="spellStart"/>
            <w:r>
              <w:rPr>
                <w:sz w:val="18"/>
              </w:rPr>
              <w:t>pologe</w:t>
            </w:r>
            <w:proofErr w:type="spellEnd"/>
            <w:r>
              <w:rPr>
                <w:sz w:val="18"/>
              </w:rPr>
              <w:t>, od zaposlenih te za više plaćene poreze i ostalo (šifre 122 do 124 - 125 + 129)</w:t>
            </w:r>
          </w:p>
        </w:tc>
        <w:tc>
          <w:tcPr>
            <w:tcW w:w="700" w:type="dxa"/>
            <w:tcMar>
              <w:top w:w="0" w:type="dxa"/>
              <w:bottom w:w="0" w:type="dxa"/>
            </w:tcMar>
            <w:vAlign w:val="center"/>
          </w:tcPr>
          <w:p w:rsidR="007A2ECE" w:rsidRDefault="00D32F5E">
            <w:pPr>
              <w:keepNext/>
              <w:keepLines/>
              <w:spacing w:after="0" w:line="240" w:lineRule="auto"/>
            </w:pPr>
            <w:r>
              <w:rPr>
                <w:sz w:val="18"/>
              </w:rPr>
              <w:t>12</w:t>
            </w:r>
          </w:p>
        </w:tc>
        <w:tc>
          <w:tcPr>
            <w:tcW w:w="1860" w:type="dxa"/>
            <w:tcMar>
              <w:top w:w="0" w:type="dxa"/>
              <w:bottom w:w="0" w:type="dxa"/>
            </w:tcMar>
            <w:vAlign w:val="center"/>
          </w:tcPr>
          <w:p w:rsidR="007A2ECE" w:rsidRDefault="00D32F5E">
            <w:pPr>
              <w:keepNext/>
              <w:keepLines/>
              <w:spacing w:after="0" w:line="240" w:lineRule="auto"/>
              <w:jc w:val="right"/>
            </w:pPr>
            <w:r>
              <w:rPr>
                <w:sz w:val="18"/>
              </w:rPr>
              <w:t>202.447,58</w:t>
            </w:r>
          </w:p>
        </w:tc>
        <w:tc>
          <w:tcPr>
            <w:tcW w:w="1860" w:type="dxa"/>
            <w:tcMar>
              <w:top w:w="0" w:type="dxa"/>
              <w:bottom w:w="0" w:type="dxa"/>
            </w:tcMar>
            <w:vAlign w:val="center"/>
          </w:tcPr>
          <w:p w:rsidR="007A2ECE" w:rsidRDefault="00D32F5E">
            <w:pPr>
              <w:keepNext/>
              <w:keepLines/>
              <w:spacing w:after="0" w:line="240" w:lineRule="auto"/>
              <w:jc w:val="right"/>
            </w:pPr>
            <w:r>
              <w:rPr>
                <w:sz w:val="18"/>
              </w:rPr>
              <w:t>158.158,08</w:t>
            </w:r>
          </w:p>
        </w:tc>
        <w:tc>
          <w:tcPr>
            <w:tcW w:w="700" w:type="dxa"/>
            <w:tcMar>
              <w:top w:w="0" w:type="dxa"/>
              <w:bottom w:w="0" w:type="dxa"/>
            </w:tcMar>
            <w:vAlign w:val="center"/>
          </w:tcPr>
          <w:p w:rsidR="007A2ECE" w:rsidRDefault="00D32F5E">
            <w:pPr>
              <w:keepNext/>
              <w:keepLines/>
              <w:spacing w:after="0" w:line="240" w:lineRule="auto"/>
              <w:jc w:val="right"/>
            </w:pPr>
            <w:r>
              <w:rPr>
                <w:sz w:val="18"/>
              </w:rPr>
              <w:t>78,1</w:t>
            </w:r>
          </w:p>
        </w:tc>
      </w:tr>
    </w:tbl>
    <w:p w:rsidR="007A2ECE" w:rsidRDefault="007A2ECE">
      <w:pPr>
        <w:spacing w:after="0"/>
      </w:pPr>
    </w:p>
    <w:p w:rsidR="007A2ECE" w:rsidRDefault="00D32F5E">
      <w:proofErr w:type="spellStart"/>
      <w:r>
        <w:t>Jamčevni</w:t>
      </w:r>
      <w:proofErr w:type="spellEnd"/>
      <w:r>
        <w:t xml:space="preserve"> </w:t>
      </w:r>
      <w:proofErr w:type="spellStart"/>
      <w:r>
        <w:t>polozi</w:t>
      </w:r>
      <w:proofErr w:type="spellEnd"/>
      <w:r>
        <w:t xml:space="preserve"> u iznosu od 99.556,47 EUR dani su zakupodavcu poslovnog prostora Sky-</w:t>
      </w:r>
      <w:proofErr w:type="spellStart"/>
      <w:r>
        <w:t>office</w:t>
      </w:r>
      <w:proofErr w:type="spellEnd"/>
      <w:r>
        <w:t xml:space="preserve"> u Zagrebu kao jamstvo za uredno plaćanje zakupa i zajedničkih troškova. Temeljem Ugovora o zakupu iz 2022. smanjen je iznos osiguranja plaćanja u odnosu na ranije s</w:t>
      </w:r>
      <w:r>
        <w:t>klopljene Ugovore o zakupu.</w:t>
      </w:r>
      <w:r>
        <w:br/>
        <w:t>Ostala potraživanja se odnose na potraživanja za naknade koje se refundiraju (HZZO) u iznosu od 3.166,25 EUR, potraživanja za predujmove (1.912,21 EUR) i na ostala nespomenuta potraživanja – Državni proračun u iznosu od 53.427,6</w:t>
      </w:r>
      <w:r>
        <w:t>0 EUR koja se odnose na duplo plaćene račune Državnog proračuna pri čemu se preplaćeni iznos na zahtjev vraća iz Državnog proračuna ili sredstva ostaju za podmirenje novih računa. </w:t>
      </w:r>
    </w:p>
    <w:p w:rsidR="007A2ECE" w:rsidRDefault="007A2ECE"/>
    <w:p w:rsidR="007A2ECE" w:rsidRDefault="00D32F5E">
      <w:pPr>
        <w:keepNext/>
        <w:spacing w:line="240" w:lineRule="auto"/>
        <w:jc w:val="center"/>
      </w:pPr>
      <w:r>
        <w:rPr>
          <w:sz w:val="28"/>
        </w:rPr>
        <w:t>Bilješka 17.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w:t>
            </w:r>
            <w:r>
              <w:rPr>
                <w:b/>
                <w:sz w:val="18"/>
              </w:rPr>
              <w:t>je 31. prosinca</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16</w:t>
            </w:r>
          </w:p>
        </w:tc>
        <w:tc>
          <w:tcPr>
            <w:tcW w:w="3180" w:type="dxa"/>
            <w:tcMar>
              <w:top w:w="0" w:type="dxa"/>
              <w:bottom w:w="0" w:type="dxa"/>
            </w:tcMar>
            <w:vAlign w:val="center"/>
          </w:tcPr>
          <w:p w:rsidR="007A2ECE" w:rsidRDefault="00D32F5E">
            <w:pPr>
              <w:keepNext/>
              <w:keepLines/>
              <w:spacing w:after="0" w:line="240" w:lineRule="auto"/>
            </w:pPr>
            <w:r>
              <w:rPr>
                <w:sz w:val="18"/>
              </w:rPr>
              <w:t>Potraživanja za prihode poslovanja (šifre 161 do 163 + 164 do 168-169)</w:t>
            </w:r>
          </w:p>
        </w:tc>
        <w:tc>
          <w:tcPr>
            <w:tcW w:w="700" w:type="dxa"/>
            <w:tcMar>
              <w:top w:w="0" w:type="dxa"/>
              <w:bottom w:w="0" w:type="dxa"/>
            </w:tcMar>
            <w:vAlign w:val="center"/>
          </w:tcPr>
          <w:p w:rsidR="007A2ECE" w:rsidRDefault="00D32F5E">
            <w:pPr>
              <w:keepNext/>
              <w:keepLines/>
              <w:spacing w:after="0" w:line="240" w:lineRule="auto"/>
            </w:pPr>
            <w:r>
              <w:rPr>
                <w:sz w:val="18"/>
              </w:rPr>
              <w:t>16</w:t>
            </w:r>
          </w:p>
        </w:tc>
        <w:tc>
          <w:tcPr>
            <w:tcW w:w="1860" w:type="dxa"/>
            <w:tcMar>
              <w:top w:w="0" w:type="dxa"/>
              <w:bottom w:w="0" w:type="dxa"/>
            </w:tcMar>
            <w:vAlign w:val="center"/>
          </w:tcPr>
          <w:p w:rsidR="007A2ECE" w:rsidRDefault="00D32F5E">
            <w:pPr>
              <w:keepNext/>
              <w:keepLines/>
              <w:spacing w:after="0" w:line="240" w:lineRule="auto"/>
              <w:jc w:val="right"/>
            </w:pPr>
            <w:r>
              <w:rPr>
                <w:sz w:val="18"/>
              </w:rPr>
              <w:t>4.746.279,90</w:t>
            </w:r>
          </w:p>
        </w:tc>
        <w:tc>
          <w:tcPr>
            <w:tcW w:w="1860" w:type="dxa"/>
            <w:tcMar>
              <w:top w:w="0" w:type="dxa"/>
              <w:bottom w:w="0" w:type="dxa"/>
            </w:tcMar>
            <w:vAlign w:val="center"/>
          </w:tcPr>
          <w:p w:rsidR="007A2ECE" w:rsidRDefault="00D32F5E">
            <w:pPr>
              <w:keepNext/>
              <w:keepLines/>
              <w:spacing w:after="0" w:line="240" w:lineRule="auto"/>
              <w:jc w:val="right"/>
            </w:pPr>
            <w:r>
              <w:rPr>
                <w:sz w:val="18"/>
              </w:rPr>
              <w:t>4.579.475,63</w:t>
            </w:r>
          </w:p>
        </w:tc>
        <w:tc>
          <w:tcPr>
            <w:tcW w:w="700" w:type="dxa"/>
            <w:tcMar>
              <w:top w:w="0" w:type="dxa"/>
              <w:bottom w:w="0" w:type="dxa"/>
            </w:tcMar>
            <w:vAlign w:val="center"/>
          </w:tcPr>
          <w:p w:rsidR="007A2ECE" w:rsidRDefault="00D32F5E">
            <w:pPr>
              <w:keepNext/>
              <w:keepLines/>
              <w:spacing w:after="0" w:line="240" w:lineRule="auto"/>
              <w:jc w:val="right"/>
            </w:pPr>
            <w:r>
              <w:rPr>
                <w:sz w:val="18"/>
              </w:rPr>
              <w:t>96,5</w:t>
            </w:r>
          </w:p>
        </w:tc>
      </w:tr>
    </w:tbl>
    <w:p w:rsidR="007A2ECE" w:rsidRDefault="007A2ECE">
      <w:pPr>
        <w:spacing w:after="0"/>
      </w:pPr>
    </w:p>
    <w:p w:rsidR="007A2ECE" w:rsidRDefault="00D32F5E">
      <w:r>
        <w:t>Potraživanja za prihode poslovanja iznose 4.579.475,63 EUR i manja su za 3,5% u odnosu na promatrano razdoblje prethodne godine. Najznačajnija su potraživanja za prihode po posebnim propisima koja se odnose na potraživanja za prihode od frekvencija, od adr</w:t>
      </w:r>
      <w:r>
        <w:t xml:space="preserve">esa i brojeva, bruto prihoda u obavljanju djelatnosti elektroničkih komunikacijskih mreža i usluga, posebnih ovlaštenja za pravne osobe te tehničkog pregleda. Redovito se provode mjere naplate dospjelih potraživanja putem opomena, ovrha te prijava u </w:t>
      </w:r>
      <w:proofErr w:type="spellStart"/>
      <w:r>
        <w:t>predst</w:t>
      </w:r>
      <w:r>
        <w:t>ečajni</w:t>
      </w:r>
      <w:proofErr w:type="spellEnd"/>
      <w:r>
        <w:t xml:space="preserve"> i stečajni postupak. </w:t>
      </w:r>
    </w:p>
    <w:p w:rsidR="007A2ECE" w:rsidRDefault="00D32F5E">
      <w:r>
        <w:t>Proveden je ispravak vrijednosti potraživanja sukladno Pravilniku o proračunskom računovodstvu i Računskom planu. </w:t>
      </w:r>
      <w:r>
        <w:br/>
        <w:t xml:space="preserve">Temeljem provedenog godišnjeg popisa imovine, obveza i </w:t>
      </w:r>
      <w:proofErr w:type="spellStart"/>
      <w:r>
        <w:t>izvanbilančnih</w:t>
      </w:r>
      <w:proofErr w:type="spellEnd"/>
      <w:r>
        <w:t xml:space="preserve"> zapisa te donesene Odluke o rezultatima ob</w:t>
      </w:r>
      <w:r>
        <w:t>avljenog popisa sa stanjem na dan 31. prosinca 2025., otpisana su dospjela potraživanja u iznosu od 7.637,74 EUR jer su subjekti ugašeni i brisani iz sudskog registra te registra plovila Ministarstva mora, prometa i infrastrukture ili je po istima nastupil</w:t>
      </w:r>
      <w:r>
        <w:t>a zastara.</w:t>
      </w:r>
    </w:p>
    <w:p w:rsidR="007A2ECE" w:rsidRDefault="007A2ECE"/>
    <w:p w:rsidR="007A2ECE" w:rsidRDefault="00D32F5E">
      <w:pPr>
        <w:keepNext/>
        <w:spacing w:line="240" w:lineRule="auto"/>
        <w:jc w:val="center"/>
      </w:pPr>
      <w:r>
        <w:rPr>
          <w:sz w:val="28"/>
        </w:rPr>
        <w:lastRenderedPageBreak/>
        <w:t>Bilješka 18.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19</w:t>
            </w:r>
          </w:p>
        </w:tc>
        <w:tc>
          <w:tcPr>
            <w:tcW w:w="3180" w:type="dxa"/>
            <w:tcMar>
              <w:top w:w="0" w:type="dxa"/>
              <w:bottom w:w="0" w:type="dxa"/>
            </w:tcMar>
            <w:vAlign w:val="center"/>
          </w:tcPr>
          <w:p w:rsidR="007A2ECE" w:rsidRDefault="00D32F5E">
            <w:pPr>
              <w:keepNext/>
              <w:keepLines/>
              <w:spacing w:after="0" w:line="240" w:lineRule="auto"/>
            </w:pPr>
            <w:r>
              <w:rPr>
                <w:sz w:val="18"/>
              </w:rPr>
              <w:t>Rashodi budućih razdoblja i nedospjela naplata prihoda (aktivna vremenska razgraničenja) (šifre 191 do 193)</w:t>
            </w:r>
          </w:p>
        </w:tc>
        <w:tc>
          <w:tcPr>
            <w:tcW w:w="700" w:type="dxa"/>
            <w:tcMar>
              <w:top w:w="0" w:type="dxa"/>
              <w:bottom w:w="0" w:type="dxa"/>
            </w:tcMar>
            <w:vAlign w:val="center"/>
          </w:tcPr>
          <w:p w:rsidR="007A2ECE" w:rsidRDefault="00D32F5E">
            <w:pPr>
              <w:keepNext/>
              <w:keepLines/>
              <w:spacing w:after="0" w:line="240" w:lineRule="auto"/>
            </w:pPr>
            <w:r>
              <w:rPr>
                <w:sz w:val="18"/>
              </w:rPr>
              <w:t>19</w:t>
            </w:r>
          </w:p>
        </w:tc>
        <w:tc>
          <w:tcPr>
            <w:tcW w:w="1860" w:type="dxa"/>
            <w:tcMar>
              <w:top w:w="0" w:type="dxa"/>
              <w:bottom w:w="0" w:type="dxa"/>
            </w:tcMar>
            <w:vAlign w:val="center"/>
          </w:tcPr>
          <w:p w:rsidR="007A2ECE" w:rsidRDefault="00D32F5E">
            <w:pPr>
              <w:keepNext/>
              <w:keepLines/>
              <w:spacing w:after="0" w:line="240" w:lineRule="auto"/>
              <w:jc w:val="right"/>
            </w:pPr>
            <w:r>
              <w:rPr>
                <w:sz w:val="18"/>
              </w:rPr>
              <w:t>138.701,92</w:t>
            </w:r>
          </w:p>
        </w:tc>
        <w:tc>
          <w:tcPr>
            <w:tcW w:w="1860" w:type="dxa"/>
            <w:tcMar>
              <w:top w:w="0" w:type="dxa"/>
              <w:bottom w:w="0" w:type="dxa"/>
            </w:tcMar>
            <w:vAlign w:val="center"/>
          </w:tcPr>
          <w:p w:rsidR="007A2ECE" w:rsidRDefault="00D32F5E">
            <w:pPr>
              <w:keepNext/>
              <w:keepLines/>
              <w:spacing w:after="0" w:line="240" w:lineRule="auto"/>
              <w:jc w:val="right"/>
            </w:pPr>
            <w:r>
              <w:rPr>
                <w:sz w:val="18"/>
              </w:rPr>
              <w:t>292.372,14</w:t>
            </w:r>
          </w:p>
        </w:tc>
        <w:tc>
          <w:tcPr>
            <w:tcW w:w="700" w:type="dxa"/>
            <w:tcMar>
              <w:top w:w="0" w:type="dxa"/>
              <w:bottom w:w="0" w:type="dxa"/>
            </w:tcMar>
            <w:vAlign w:val="center"/>
          </w:tcPr>
          <w:p w:rsidR="007A2ECE" w:rsidRDefault="00D32F5E">
            <w:pPr>
              <w:keepNext/>
              <w:keepLines/>
              <w:spacing w:after="0" w:line="240" w:lineRule="auto"/>
              <w:jc w:val="right"/>
            </w:pPr>
            <w:r>
              <w:rPr>
                <w:sz w:val="18"/>
              </w:rPr>
              <w:t>210,8</w:t>
            </w:r>
          </w:p>
        </w:tc>
      </w:tr>
    </w:tbl>
    <w:p w:rsidR="007A2ECE" w:rsidRDefault="007A2ECE">
      <w:pPr>
        <w:spacing w:after="0"/>
      </w:pPr>
    </w:p>
    <w:p w:rsidR="007A2ECE" w:rsidRDefault="00D32F5E">
      <w:r>
        <w:t>Unaprijed plaćeni rashodi budućih razdoblja u iznosu od 292.372,14 EUR se odnose na licence, premiju osiguranja vozila, imovine i zaposlenika, pretplatu na stručne časopise, pristup aplikaciji za praćenje statusa kupaca i dobavljača, održavanje sustava o</w:t>
      </w:r>
      <w:r>
        <w:t>poravka od katastrofe, korištenje OKR alata i dr.  </w:t>
      </w:r>
    </w:p>
    <w:p w:rsidR="007A2ECE" w:rsidRDefault="007A2ECE"/>
    <w:p w:rsidR="007A2ECE" w:rsidRDefault="00D32F5E">
      <w:pPr>
        <w:keepNext/>
        <w:spacing w:line="240" w:lineRule="auto"/>
        <w:jc w:val="center"/>
      </w:pPr>
      <w:r>
        <w:rPr>
          <w:sz w:val="28"/>
        </w:rPr>
        <w:t>Bilješka 19.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23</w:t>
            </w:r>
          </w:p>
        </w:tc>
        <w:tc>
          <w:tcPr>
            <w:tcW w:w="3180" w:type="dxa"/>
            <w:tcMar>
              <w:top w:w="0" w:type="dxa"/>
              <w:bottom w:w="0" w:type="dxa"/>
            </w:tcMar>
            <w:vAlign w:val="center"/>
          </w:tcPr>
          <w:p w:rsidR="007A2ECE" w:rsidRDefault="00D32F5E">
            <w:pPr>
              <w:keepNext/>
              <w:keepLines/>
              <w:spacing w:after="0" w:line="240" w:lineRule="auto"/>
            </w:pPr>
            <w:r>
              <w:rPr>
                <w:sz w:val="18"/>
              </w:rPr>
              <w:t>Obveze za rashode poslovanja (šifre 231 do 234 + 235 + 236 + 237 do 239)</w:t>
            </w:r>
          </w:p>
        </w:tc>
        <w:tc>
          <w:tcPr>
            <w:tcW w:w="700" w:type="dxa"/>
            <w:tcMar>
              <w:top w:w="0" w:type="dxa"/>
              <w:bottom w:w="0" w:type="dxa"/>
            </w:tcMar>
            <w:vAlign w:val="center"/>
          </w:tcPr>
          <w:p w:rsidR="007A2ECE" w:rsidRDefault="00D32F5E">
            <w:pPr>
              <w:keepNext/>
              <w:keepLines/>
              <w:spacing w:after="0" w:line="240" w:lineRule="auto"/>
            </w:pPr>
            <w:r>
              <w:rPr>
                <w:sz w:val="18"/>
              </w:rPr>
              <w:t>23</w:t>
            </w:r>
          </w:p>
        </w:tc>
        <w:tc>
          <w:tcPr>
            <w:tcW w:w="1860" w:type="dxa"/>
            <w:tcMar>
              <w:top w:w="0" w:type="dxa"/>
              <w:bottom w:w="0" w:type="dxa"/>
            </w:tcMar>
            <w:vAlign w:val="center"/>
          </w:tcPr>
          <w:p w:rsidR="007A2ECE" w:rsidRDefault="00D32F5E">
            <w:pPr>
              <w:keepNext/>
              <w:keepLines/>
              <w:spacing w:after="0" w:line="240" w:lineRule="auto"/>
              <w:jc w:val="right"/>
            </w:pPr>
            <w:r>
              <w:rPr>
                <w:sz w:val="18"/>
              </w:rPr>
              <w:t>963.891,53</w:t>
            </w:r>
          </w:p>
        </w:tc>
        <w:tc>
          <w:tcPr>
            <w:tcW w:w="1860" w:type="dxa"/>
            <w:tcMar>
              <w:top w:w="0" w:type="dxa"/>
              <w:bottom w:w="0" w:type="dxa"/>
            </w:tcMar>
            <w:vAlign w:val="center"/>
          </w:tcPr>
          <w:p w:rsidR="007A2ECE" w:rsidRDefault="00D32F5E">
            <w:pPr>
              <w:keepNext/>
              <w:keepLines/>
              <w:spacing w:after="0" w:line="240" w:lineRule="auto"/>
              <w:jc w:val="right"/>
            </w:pPr>
            <w:r>
              <w:rPr>
                <w:sz w:val="18"/>
              </w:rPr>
              <w:t>1.121.201,22</w:t>
            </w:r>
          </w:p>
        </w:tc>
        <w:tc>
          <w:tcPr>
            <w:tcW w:w="700" w:type="dxa"/>
            <w:tcMar>
              <w:top w:w="0" w:type="dxa"/>
              <w:bottom w:w="0" w:type="dxa"/>
            </w:tcMar>
            <w:vAlign w:val="center"/>
          </w:tcPr>
          <w:p w:rsidR="007A2ECE" w:rsidRDefault="00D32F5E">
            <w:pPr>
              <w:keepNext/>
              <w:keepLines/>
              <w:spacing w:after="0" w:line="240" w:lineRule="auto"/>
              <w:jc w:val="right"/>
            </w:pPr>
            <w:r>
              <w:rPr>
                <w:sz w:val="18"/>
              </w:rPr>
              <w:t>116,3</w:t>
            </w:r>
          </w:p>
        </w:tc>
      </w:tr>
    </w:tbl>
    <w:p w:rsidR="007A2ECE" w:rsidRDefault="007A2ECE">
      <w:pPr>
        <w:spacing w:after="0"/>
      </w:pPr>
    </w:p>
    <w:p w:rsidR="007A2ECE" w:rsidRDefault="00D32F5E">
      <w:r>
        <w:t>Obveze za rashode poslovanja su iskazane u iznosu od 1.121.201,22 EUR. Najveći dio se odnosi na obveze za zaposlene (plaća za prosinac 2025.) i obveze za materijalne rashode (usluge tekućeg i investicijskog održavanja, energija, računalne usluge, komunalne</w:t>
      </w:r>
      <w:r>
        <w:t xml:space="preserve"> usluge, intelektualne usluge i ostale usluge).</w:t>
      </w:r>
    </w:p>
    <w:p w:rsidR="007A2ECE" w:rsidRDefault="007A2ECE"/>
    <w:p w:rsidR="007A2ECE" w:rsidRDefault="00D32F5E">
      <w:pPr>
        <w:keepNext/>
        <w:spacing w:line="240" w:lineRule="auto"/>
        <w:jc w:val="center"/>
      </w:pPr>
      <w:r>
        <w:rPr>
          <w:sz w:val="28"/>
        </w:rPr>
        <w:t>Bilješka 20.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27</w:t>
            </w:r>
          </w:p>
        </w:tc>
        <w:tc>
          <w:tcPr>
            <w:tcW w:w="3180" w:type="dxa"/>
            <w:tcMar>
              <w:top w:w="0" w:type="dxa"/>
              <w:bottom w:w="0" w:type="dxa"/>
            </w:tcMar>
            <w:vAlign w:val="center"/>
          </w:tcPr>
          <w:p w:rsidR="007A2ECE" w:rsidRDefault="00D32F5E">
            <w:pPr>
              <w:keepNext/>
              <w:keepLines/>
              <w:spacing w:after="0" w:line="240" w:lineRule="auto"/>
            </w:pPr>
            <w:r>
              <w:rPr>
                <w:sz w:val="18"/>
              </w:rPr>
              <w:t xml:space="preserve">Obveze za predujmove, depozite, </w:t>
            </w:r>
            <w:proofErr w:type="spellStart"/>
            <w:r>
              <w:rPr>
                <w:sz w:val="18"/>
              </w:rPr>
              <w:t>jamčevne</w:t>
            </w:r>
            <w:proofErr w:type="spellEnd"/>
            <w:r>
              <w:rPr>
                <w:sz w:val="18"/>
              </w:rPr>
              <w:t xml:space="preserve"> </w:t>
            </w:r>
            <w:proofErr w:type="spellStart"/>
            <w:r>
              <w:rPr>
                <w:sz w:val="18"/>
              </w:rPr>
              <w:t>pologe</w:t>
            </w:r>
            <w:proofErr w:type="spellEnd"/>
            <w:r>
              <w:rPr>
                <w:sz w:val="18"/>
              </w:rPr>
              <w:t xml:space="preserve"> i tuđe prihode</w:t>
            </w:r>
          </w:p>
        </w:tc>
        <w:tc>
          <w:tcPr>
            <w:tcW w:w="700" w:type="dxa"/>
            <w:tcMar>
              <w:top w:w="0" w:type="dxa"/>
              <w:bottom w:w="0" w:type="dxa"/>
            </w:tcMar>
            <w:vAlign w:val="center"/>
          </w:tcPr>
          <w:p w:rsidR="007A2ECE" w:rsidRDefault="00D32F5E">
            <w:pPr>
              <w:keepNext/>
              <w:keepLines/>
              <w:spacing w:after="0" w:line="240" w:lineRule="auto"/>
            </w:pPr>
            <w:r>
              <w:rPr>
                <w:sz w:val="18"/>
              </w:rPr>
              <w:t>27</w:t>
            </w:r>
          </w:p>
        </w:tc>
        <w:tc>
          <w:tcPr>
            <w:tcW w:w="1860" w:type="dxa"/>
            <w:tcMar>
              <w:top w:w="0" w:type="dxa"/>
              <w:bottom w:w="0" w:type="dxa"/>
            </w:tcMar>
            <w:vAlign w:val="center"/>
          </w:tcPr>
          <w:p w:rsidR="007A2ECE" w:rsidRDefault="00D32F5E">
            <w:pPr>
              <w:keepNext/>
              <w:keepLines/>
              <w:spacing w:after="0" w:line="240" w:lineRule="auto"/>
              <w:jc w:val="right"/>
            </w:pPr>
            <w:r>
              <w:rPr>
                <w:sz w:val="18"/>
              </w:rPr>
              <w:t>140.937,56</w:t>
            </w:r>
          </w:p>
        </w:tc>
        <w:tc>
          <w:tcPr>
            <w:tcW w:w="1860" w:type="dxa"/>
            <w:tcMar>
              <w:top w:w="0" w:type="dxa"/>
              <w:bottom w:w="0" w:type="dxa"/>
            </w:tcMar>
            <w:vAlign w:val="center"/>
          </w:tcPr>
          <w:p w:rsidR="007A2ECE" w:rsidRDefault="00D32F5E">
            <w:pPr>
              <w:keepNext/>
              <w:keepLines/>
              <w:spacing w:after="0" w:line="240" w:lineRule="auto"/>
              <w:jc w:val="right"/>
            </w:pPr>
            <w:r>
              <w:rPr>
                <w:sz w:val="18"/>
              </w:rPr>
              <w:t>119.874,14</w:t>
            </w:r>
          </w:p>
        </w:tc>
        <w:tc>
          <w:tcPr>
            <w:tcW w:w="700" w:type="dxa"/>
            <w:tcMar>
              <w:top w:w="0" w:type="dxa"/>
              <w:bottom w:w="0" w:type="dxa"/>
            </w:tcMar>
            <w:vAlign w:val="center"/>
          </w:tcPr>
          <w:p w:rsidR="007A2ECE" w:rsidRDefault="00D32F5E">
            <w:pPr>
              <w:keepNext/>
              <w:keepLines/>
              <w:spacing w:after="0" w:line="240" w:lineRule="auto"/>
              <w:jc w:val="right"/>
            </w:pPr>
            <w:r>
              <w:rPr>
                <w:sz w:val="18"/>
              </w:rPr>
              <w:t>85,1</w:t>
            </w:r>
          </w:p>
        </w:tc>
      </w:tr>
    </w:tbl>
    <w:p w:rsidR="007A2ECE" w:rsidRDefault="007A2ECE">
      <w:pPr>
        <w:spacing w:after="0"/>
      </w:pPr>
    </w:p>
    <w:p w:rsidR="007A2ECE" w:rsidRDefault="00D32F5E">
      <w:r>
        <w:t>Sukladno odredbama novog Pravilnika o proračunskom računovodstvu i Računskom planu koji se u poslovnim evidencijama primjenjuje od 1. siječnja 2025., iz odjeljka 2395 Ostale nespomenute obveze iz prethodno važećeg Računskog plana preneseni su osnovni račun</w:t>
      </w:r>
      <w:r>
        <w:t xml:space="preserve">i za praćenje predujmova, depozita, </w:t>
      </w:r>
      <w:proofErr w:type="spellStart"/>
      <w:r>
        <w:t>jamčevnih</w:t>
      </w:r>
      <w:proofErr w:type="spellEnd"/>
      <w:r>
        <w:t xml:space="preserve"> pologa i tuđih prihoda u novu skupinu računa 27. U okviru odjeljka 2395 ostao je samo osnovni račun 23954 Ostale nespomenute usluge. Stanje na dan 31. prosinca 2024. na osnovnim računima 23951, 23953 i 23958 u </w:t>
      </w:r>
      <w:r>
        <w:t>iznosu od 140.937,56 EUR je preneseno u početno stanje 1. siječnja 2025. na odgovarajuće račune u okviru skupine 27 (27111, 27212 i 27611).</w:t>
      </w:r>
      <w:r>
        <w:br/>
        <w:t>Stanje konta 27 na dan 31. prosinca 2025. iznosi 119.874,14 EUR te se odnosi na obveze za predujmove od kupaca (66.1</w:t>
      </w:r>
      <w:r>
        <w:t xml:space="preserve">52,16 EUR), obveze za depozite i </w:t>
      </w:r>
      <w:proofErr w:type="spellStart"/>
      <w:r>
        <w:t>jamčevne</w:t>
      </w:r>
      <w:proofErr w:type="spellEnd"/>
      <w:r>
        <w:t xml:space="preserve"> </w:t>
      </w:r>
      <w:proofErr w:type="spellStart"/>
      <w:r>
        <w:t>pologe</w:t>
      </w:r>
      <w:proofErr w:type="spellEnd"/>
      <w:r>
        <w:t xml:space="preserve"> za ozbiljnost ponude u postupcima nabave i za izvršenje ugovornih obveza (53.259,98 EUR) i obveze proračunskih korisnika za povrat u proračun pogrešno uplaćenih naknada temeljem izdanih dozvola za uporabu </w:t>
      </w:r>
      <w:proofErr w:type="spellStart"/>
      <w:r>
        <w:t>ra</w:t>
      </w:r>
      <w:r>
        <w:t>diofrekvencijskog</w:t>
      </w:r>
      <w:proofErr w:type="spellEnd"/>
      <w:r>
        <w:t xml:space="preserve"> spektra koje su korisnici greškom umjesto u Državni proračun uplatili na žiro-račun HAKOM-a (462,00 EUR). </w:t>
      </w:r>
    </w:p>
    <w:p w:rsidR="007A2ECE" w:rsidRDefault="007A2ECE"/>
    <w:p w:rsidR="007A2ECE" w:rsidRDefault="00D32F5E">
      <w:pPr>
        <w:keepNext/>
        <w:spacing w:line="240" w:lineRule="auto"/>
        <w:jc w:val="center"/>
      </w:pPr>
      <w:r>
        <w:rPr>
          <w:sz w:val="28"/>
        </w:rPr>
        <w:t>Bilješka 21.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29</w:t>
            </w:r>
          </w:p>
        </w:tc>
        <w:tc>
          <w:tcPr>
            <w:tcW w:w="3180" w:type="dxa"/>
            <w:tcMar>
              <w:top w:w="0" w:type="dxa"/>
              <w:bottom w:w="0" w:type="dxa"/>
            </w:tcMar>
            <w:vAlign w:val="center"/>
          </w:tcPr>
          <w:p w:rsidR="007A2ECE" w:rsidRDefault="00D32F5E">
            <w:pPr>
              <w:keepNext/>
              <w:keepLines/>
              <w:spacing w:after="0" w:line="240" w:lineRule="auto"/>
            </w:pPr>
            <w:r>
              <w:rPr>
                <w:sz w:val="18"/>
              </w:rPr>
              <w:t>Odgođeno plaćanje rashoda</w:t>
            </w:r>
            <w:r>
              <w:rPr>
                <w:sz w:val="18"/>
              </w:rPr>
              <w:t xml:space="preserve"> i prihodi budućih razdoblja (pasivna vremenska razgraničenja) (šifre 291+292)</w:t>
            </w:r>
          </w:p>
        </w:tc>
        <w:tc>
          <w:tcPr>
            <w:tcW w:w="700" w:type="dxa"/>
            <w:tcMar>
              <w:top w:w="0" w:type="dxa"/>
              <w:bottom w:w="0" w:type="dxa"/>
            </w:tcMar>
            <w:vAlign w:val="center"/>
          </w:tcPr>
          <w:p w:rsidR="007A2ECE" w:rsidRDefault="00D32F5E">
            <w:pPr>
              <w:keepNext/>
              <w:keepLines/>
              <w:spacing w:after="0" w:line="240" w:lineRule="auto"/>
            </w:pPr>
            <w:r>
              <w:rPr>
                <w:sz w:val="18"/>
              </w:rPr>
              <w:t>29</w:t>
            </w:r>
          </w:p>
        </w:tc>
        <w:tc>
          <w:tcPr>
            <w:tcW w:w="1860" w:type="dxa"/>
            <w:tcMar>
              <w:top w:w="0" w:type="dxa"/>
              <w:bottom w:w="0" w:type="dxa"/>
            </w:tcMar>
            <w:vAlign w:val="center"/>
          </w:tcPr>
          <w:p w:rsidR="007A2ECE" w:rsidRDefault="00D32F5E">
            <w:pPr>
              <w:keepNext/>
              <w:keepLines/>
              <w:spacing w:after="0" w:line="240" w:lineRule="auto"/>
              <w:jc w:val="right"/>
            </w:pPr>
            <w:r>
              <w:rPr>
                <w:sz w:val="18"/>
              </w:rPr>
              <w:t>26.733,49</w:t>
            </w:r>
          </w:p>
        </w:tc>
        <w:tc>
          <w:tcPr>
            <w:tcW w:w="1860" w:type="dxa"/>
            <w:tcMar>
              <w:top w:w="0" w:type="dxa"/>
              <w:bottom w:w="0" w:type="dxa"/>
            </w:tcMar>
            <w:vAlign w:val="center"/>
          </w:tcPr>
          <w:p w:rsidR="007A2ECE" w:rsidRDefault="00D32F5E">
            <w:pPr>
              <w:keepNext/>
              <w:keepLines/>
              <w:spacing w:after="0" w:line="240" w:lineRule="auto"/>
              <w:jc w:val="right"/>
            </w:pPr>
            <w:r>
              <w:rPr>
                <w:sz w:val="18"/>
              </w:rPr>
              <w:t>28.245,19</w:t>
            </w:r>
          </w:p>
        </w:tc>
        <w:tc>
          <w:tcPr>
            <w:tcW w:w="700" w:type="dxa"/>
            <w:tcMar>
              <w:top w:w="0" w:type="dxa"/>
              <w:bottom w:w="0" w:type="dxa"/>
            </w:tcMar>
            <w:vAlign w:val="center"/>
          </w:tcPr>
          <w:p w:rsidR="007A2ECE" w:rsidRDefault="00D32F5E">
            <w:pPr>
              <w:keepNext/>
              <w:keepLines/>
              <w:spacing w:after="0" w:line="240" w:lineRule="auto"/>
              <w:jc w:val="right"/>
            </w:pPr>
            <w:r>
              <w:rPr>
                <w:sz w:val="18"/>
              </w:rPr>
              <w:t>105,7</w:t>
            </w:r>
          </w:p>
        </w:tc>
      </w:tr>
    </w:tbl>
    <w:p w:rsidR="007A2ECE" w:rsidRDefault="007A2ECE">
      <w:pPr>
        <w:spacing w:after="0"/>
      </w:pPr>
    </w:p>
    <w:p w:rsidR="007A2ECE" w:rsidRDefault="00D32F5E">
      <w:r>
        <w:t xml:space="preserve">Obračunati rashodi koji nisu fakturirani, a terete tekuće razdoblje evidentirani su u iznosu od 28.245,19 EUR te se odnose na održavanje i podršku aplikacije </w:t>
      </w:r>
      <w:proofErr w:type="spellStart"/>
      <w:r>
        <w:t>Centrix</w:t>
      </w:r>
      <w:proofErr w:type="spellEnd"/>
      <w:r>
        <w:t xml:space="preserve">, e-Dozvole, </w:t>
      </w:r>
      <w:proofErr w:type="spellStart"/>
      <w:r>
        <w:t>Jenz</w:t>
      </w:r>
      <w:proofErr w:type="spellEnd"/>
      <w:r>
        <w:t xml:space="preserve">, intranet portala i integriranih aplikativnih </w:t>
      </w:r>
      <w:proofErr w:type="spellStart"/>
      <w:r>
        <w:t>sustva</w:t>
      </w:r>
      <w:proofErr w:type="spellEnd"/>
      <w:r>
        <w:t>, GIS sustava i GIS j</w:t>
      </w:r>
      <w:r>
        <w:t>avnog portala.</w:t>
      </w:r>
    </w:p>
    <w:p w:rsidR="007A2ECE" w:rsidRDefault="007A2ECE"/>
    <w:p w:rsidR="007A2ECE" w:rsidRDefault="00D32F5E">
      <w:pPr>
        <w:keepNext/>
        <w:spacing w:line="240" w:lineRule="auto"/>
        <w:jc w:val="center"/>
      </w:pPr>
      <w:r>
        <w:rPr>
          <w:sz w:val="28"/>
        </w:rPr>
        <w:t>Bilješka 22.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91</w:t>
            </w:r>
          </w:p>
        </w:tc>
        <w:tc>
          <w:tcPr>
            <w:tcW w:w="3180" w:type="dxa"/>
            <w:tcMar>
              <w:top w:w="0" w:type="dxa"/>
              <w:bottom w:w="0" w:type="dxa"/>
            </w:tcMar>
            <w:vAlign w:val="center"/>
          </w:tcPr>
          <w:p w:rsidR="007A2ECE" w:rsidRDefault="00D32F5E">
            <w:pPr>
              <w:keepNext/>
              <w:keepLines/>
              <w:spacing w:after="0" w:line="240" w:lineRule="auto"/>
            </w:pPr>
            <w:r>
              <w:rPr>
                <w:sz w:val="18"/>
              </w:rPr>
              <w:t>Vlastiti izvori i ispravak vlastitih izvora (šifre 911-912)</w:t>
            </w:r>
          </w:p>
        </w:tc>
        <w:tc>
          <w:tcPr>
            <w:tcW w:w="700" w:type="dxa"/>
            <w:tcMar>
              <w:top w:w="0" w:type="dxa"/>
              <w:bottom w:w="0" w:type="dxa"/>
            </w:tcMar>
            <w:vAlign w:val="center"/>
          </w:tcPr>
          <w:p w:rsidR="007A2ECE" w:rsidRDefault="00D32F5E">
            <w:pPr>
              <w:keepNext/>
              <w:keepLines/>
              <w:spacing w:after="0" w:line="240" w:lineRule="auto"/>
            </w:pPr>
            <w:r>
              <w:rPr>
                <w:sz w:val="18"/>
              </w:rPr>
              <w:t>91</w:t>
            </w:r>
          </w:p>
        </w:tc>
        <w:tc>
          <w:tcPr>
            <w:tcW w:w="1860" w:type="dxa"/>
            <w:tcMar>
              <w:top w:w="0" w:type="dxa"/>
              <w:bottom w:w="0" w:type="dxa"/>
            </w:tcMar>
            <w:vAlign w:val="center"/>
          </w:tcPr>
          <w:p w:rsidR="007A2ECE" w:rsidRDefault="00D32F5E">
            <w:pPr>
              <w:keepNext/>
              <w:keepLines/>
              <w:spacing w:after="0" w:line="240" w:lineRule="auto"/>
              <w:jc w:val="right"/>
            </w:pPr>
            <w:r>
              <w:rPr>
                <w:sz w:val="18"/>
              </w:rPr>
              <w:t>4.976.878,00</w:t>
            </w:r>
          </w:p>
        </w:tc>
        <w:tc>
          <w:tcPr>
            <w:tcW w:w="1860" w:type="dxa"/>
            <w:tcMar>
              <w:top w:w="0" w:type="dxa"/>
              <w:bottom w:w="0" w:type="dxa"/>
            </w:tcMar>
            <w:vAlign w:val="center"/>
          </w:tcPr>
          <w:p w:rsidR="007A2ECE" w:rsidRDefault="00D32F5E">
            <w:pPr>
              <w:keepNext/>
              <w:keepLines/>
              <w:spacing w:after="0" w:line="240" w:lineRule="auto"/>
              <w:jc w:val="right"/>
            </w:pPr>
            <w:r>
              <w:rPr>
                <w:sz w:val="18"/>
              </w:rPr>
              <w:t>4.725.636,05</w:t>
            </w:r>
          </w:p>
        </w:tc>
        <w:tc>
          <w:tcPr>
            <w:tcW w:w="700" w:type="dxa"/>
            <w:tcMar>
              <w:top w:w="0" w:type="dxa"/>
              <w:bottom w:w="0" w:type="dxa"/>
            </w:tcMar>
            <w:vAlign w:val="center"/>
          </w:tcPr>
          <w:p w:rsidR="007A2ECE" w:rsidRDefault="00D32F5E">
            <w:pPr>
              <w:keepNext/>
              <w:keepLines/>
              <w:spacing w:after="0" w:line="240" w:lineRule="auto"/>
              <w:jc w:val="right"/>
            </w:pPr>
            <w:r>
              <w:rPr>
                <w:sz w:val="18"/>
              </w:rPr>
              <w:t>95,0</w:t>
            </w:r>
          </w:p>
        </w:tc>
      </w:tr>
    </w:tbl>
    <w:p w:rsidR="007A2ECE" w:rsidRDefault="007A2ECE">
      <w:pPr>
        <w:spacing w:after="0"/>
      </w:pPr>
    </w:p>
    <w:p w:rsidR="007A2ECE" w:rsidRDefault="00D32F5E">
      <w:r>
        <w:t>Vlastiti izvori u iznosu od 4.725.636,05 EUR se odnose na izvore vlasništva iz proračuna za nefinancijsku imovinu koji odgovaraju knjigovodstvenoj vrijednosti nefinancijske imovine (razred 0) 4.626.079,58 EUR i na izvore vlasništva iz proračuna za financij</w:t>
      </w:r>
      <w:r>
        <w:t xml:space="preserve">sku imovinu 99.556,47 EUR. Navedeno se odnosi na </w:t>
      </w:r>
      <w:proofErr w:type="spellStart"/>
      <w:r>
        <w:t>jamčevni</w:t>
      </w:r>
      <w:proofErr w:type="spellEnd"/>
      <w:r>
        <w:t xml:space="preserve"> polog dan zakupodavcu poslovnog prostora Sky-</w:t>
      </w:r>
      <w:proofErr w:type="spellStart"/>
      <w:r>
        <w:t>office</w:t>
      </w:r>
      <w:proofErr w:type="spellEnd"/>
      <w:r>
        <w:t xml:space="preserve"> u Zagrebu kao jamstvo za uredno plaćanje zakupa i zajedničkih troškova. </w:t>
      </w:r>
      <w:proofErr w:type="spellStart"/>
      <w:r>
        <w:t>Jamčevni</w:t>
      </w:r>
      <w:proofErr w:type="spellEnd"/>
      <w:r>
        <w:t xml:space="preserve"> polog je u 2025. knjižen sukladno odredbama novog Pravilnika o pr</w:t>
      </w:r>
      <w:r>
        <w:t xml:space="preserve">oračunskom računovodstvu i Računskom planu na konto 911121, a kao </w:t>
      </w:r>
      <w:proofErr w:type="spellStart"/>
      <w:r>
        <w:t>protustavka</w:t>
      </w:r>
      <w:proofErr w:type="spellEnd"/>
      <w:r>
        <w:t xml:space="preserve"> je evidentiran manjak primitaka od financijske imovine na kontu 922231.</w:t>
      </w:r>
    </w:p>
    <w:p w:rsidR="007A2ECE" w:rsidRDefault="007A2ECE"/>
    <w:p w:rsidR="007A2ECE" w:rsidRDefault="00D32F5E">
      <w:pPr>
        <w:keepNext/>
        <w:spacing w:line="240" w:lineRule="auto"/>
        <w:jc w:val="center"/>
      </w:pPr>
      <w:r>
        <w:rPr>
          <w:sz w:val="28"/>
        </w:rPr>
        <w:t>Bilješka 23.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922</w:t>
            </w:r>
          </w:p>
        </w:tc>
        <w:tc>
          <w:tcPr>
            <w:tcW w:w="3180" w:type="dxa"/>
            <w:tcMar>
              <w:top w:w="0" w:type="dxa"/>
              <w:bottom w:w="0" w:type="dxa"/>
            </w:tcMar>
            <w:vAlign w:val="center"/>
          </w:tcPr>
          <w:p w:rsidR="007A2ECE" w:rsidRDefault="00D32F5E">
            <w:pPr>
              <w:keepNext/>
              <w:keepLines/>
              <w:spacing w:after="0" w:line="240" w:lineRule="auto"/>
            </w:pPr>
            <w:r>
              <w:rPr>
                <w:sz w:val="18"/>
              </w:rPr>
              <w:t>Rezultat - višak/manjak (šifre 9221-9222)</w:t>
            </w:r>
          </w:p>
        </w:tc>
        <w:tc>
          <w:tcPr>
            <w:tcW w:w="700" w:type="dxa"/>
            <w:tcMar>
              <w:top w:w="0" w:type="dxa"/>
              <w:bottom w:w="0" w:type="dxa"/>
            </w:tcMar>
            <w:vAlign w:val="center"/>
          </w:tcPr>
          <w:p w:rsidR="007A2ECE" w:rsidRDefault="00D32F5E">
            <w:pPr>
              <w:keepNext/>
              <w:keepLines/>
              <w:spacing w:after="0" w:line="240" w:lineRule="auto"/>
            </w:pPr>
            <w:r>
              <w:rPr>
                <w:sz w:val="18"/>
              </w:rPr>
              <w:t>922</w:t>
            </w:r>
          </w:p>
        </w:tc>
        <w:tc>
          <w:tcPr>
            <w:tcW w:w="1860" w:type="dxa"/>
            <w:tcMar>
              <w:top w:w="0" w:type="dxa"/>
              <w:bottom w:w="0" w:type="dxa"/>
            </w:tcMar>
            <w:vAlign w:val="center"/>
          </w:tcPr>
          <w:p w:rsidR="007A2ECE" w:rsidRDefault="00D32F5E">
            <w:pPr>
              <w:keepNext/>
              <w:keepLines/>
              <w:spacing w:after="0" w:line="240" w:lineRule="auto"/>
              <w:jc w:val="right"/>
            </w:pPr>
            <w:r>
              <w:rPr>
                <w:sz w:val="18"/>
              </w:rPr>
              <w:t>3.929.035,67</w:t>
            </w:r>
          </w:p>
        </w:tc>
        <w:tc>
          <w:tcPr>
            <w:tcW w:w="1860" w:type="dxa"/>
            <w:tcMar>
              <w:top w:w="0" w:type="dxa"/>
              <w:bottom w:w="0" w:type="dxa"/>
            </w:tcMar>
            <w:vAlign w:val="center"/>
          </w:tcPr>
          <w:p w:rsidR="007A2ECE" w:rsidRDefault="00D32F5E">
            <w:pPr>
              <w:keepNext/>
              <w:keepLines/>
              <w:spacing w:after="0" w:line="240" w:lineRule="auto"/>
              <w:jc w:val="right"/>
            </w:pPr>
            <w:r>
              <w:rPr>
                <w:sz w:val="18"/>
              </w:rPr>
              <w:t>5.273.824,30</w:t>
            </w:r>
          </w:p>
        </w:tc>
        <w:tc>
          <w:tcPr>
            <w:tcW w:w="700" w:type="dxa"/>
            <w:tcMar>
              <w:top w:w="0" w:type="dxa"/>
              <w:bottom w:w="0" w:type="dxa"/>
            </w:tcMar>
            <w:vAlign w:val="center"/>
          </w:tcPr>
          <w:p w:rsidR="007A2ECE" w:rsidRDefault="00D32F5E">
            <w:pPr>
              <w:keepNext/>
              <w:keepLines/>
              <w:spacing w:after="0" w:line="240" w:lineRule="auto"/>
              <w:jc w:val="right"/>
            </w:pPr>
            <w:r>
              <w:rPr>
                <w:sz w:val="18"/>
              </w:rPr>
              <w:t>134,2</w:t>
            </w:r>
          </w:p>
        </w:tc>
      </w:tr>
    </w:tbl>
    <w:p w:rsidR="007A2ECE" w:rsidRDefault="007A2ECE">
      <w:pPr>
        <w:spacing w:after="0"/>
      </w:pPr>
    </w:p>
    <w:p w:rsidR="007A2ECE" w:rsidRDefault="00D32F5E">
      <w:r>
        <w:t>Na računu 922 je prije donosa rezultata tekuće godine bio evidentiran višak prihoda poslovanja u iznosu od 3.929.322,51 EUR i manjak primitaka od financijske imovine u iznosu od 99.556,47 EUR.   </w:t>
      </w:r>
    </w:p>
    <w:p w:rsidR="007A2ECE" w:rsidRDefault="00D32F5E">
      <w:r>
        <w:t>Nakon utvrđivanja rezultata po svakoj od aktivnosti za 2025.</w:t>
      </w:r>
      <w:r>
        <w:t xml:space="preserve"> i prebijanja računa viškova i manjkova po istovrsnim kategorijama i izvorima financiranja, u 2025. je ostvaren višak prihoda poslovanja u iznosu od 2.309.284,63 EUR i manjak prihoda od nefinancijske imovine u iznosu od 865.226,37 EUR. </w:t>
      </w:r>
    </w:p>
    <w:p w:rsidR="007A2ECE" w:rsidRDefault="00D32F5E">
      <w:r>
        <w:lastRenderedPageBreak/>
        <w:t>U 2025. nisu ispunj</w:t>
      </w:r>
      <w:r>
        <w:t>eni uvjeti za provođenje nijedne propisane obvezne korekcije rezultata pa je na dan 31.12.2025. evidentiran ukupan višak poslovanja u iznosu od 6.238.607,14 EUR, manjak prihoda od nefinancijske imovine u iznosu od 865.226,37 EUR i manjak primitaka od finan</w:t>
      </w:r>
      <w:r>
        <w:t>cijske imovine u iznosu od 99.556,47 EUR. Ukupan višak prihoda iznosi 5.273.824,30 EUR.</w:t>
      </w:r>
    </w:p>
    <w:p w:rsidR="007A2ECE" w:rsidRDefault="007A2ECE"/>
    <w:p w:rsidR="007A2ECE" w:rsidRDefault="00D32F5E">
      <w:pPr>
        <w:keepNext/>
        <w:spacing w:line="240" w:lineRule="auto"/>
        <w:jc w:val="center"/>
      </w:pPr>
      <w:r>
        <w:rPr>
          <w:sz w:val="28"/>
        </w:rPr>
        <w:t>Bilješka 24.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96</w:t>
            </w:r>
          </w:p>
        </w:tc>
        <w:tc>
          <w:tcPr>
            <w:tcW w:w="3180" w:type="dxa"/>
            <w:tcMar>
              <w:top w:w="0" w:type="dxa"/>
              <w:bottom w:w="0" w:type="dxa"/>
            </w:tcMar>
            <w:vAlign w:val="center"/>
          </w:tcPr>
          <w:p w:rsidR="007A2ECE" w:rsidRDefault="00D32F5E">
            <w:pPr>
              <w:keepNext/>
              <w:keepLines/>
              <w:spacing w:after="0" w:line="240" w:lineRule="auto"/>
            </w:pPr>
            <w:r>
              <w:rPr>
                <w:sz w:val="18"/>
              </w:rPr>
              <w:t>Obračunati prihodi poslovanja (šifre 961 do 963 + 964 do 968)</w:t>
            </w:r>
          </w:p>
        </w:tc>
        <w:tc>
          <w:tcPr>
            <w:tcW w:w="700" w:type="dxa"/>
            <w:tcMar>
              <w:top w:w="0" w:type="dxa"/>
              <w:bottom w:w="0" w:type="dxa"/>
            </w:tcMar>
            <w:vAlign w:val="center"/>
          </w:tcPr>
          <w:p w:rsidR="007A2ECE" w:rsidRDefault="00D32F5E">
            <w:pPr>
              <w:keepNext/>
              <w:keepLines/>
              <w:spacing w:after="0" w:line="240" w:lineRule="auto"/>
            </w:pPr>
            <w:r>
              <w:rPr>
                <w:sz w:val="18"/>
              </w:rPr>
              <w:t>96</w:t>
            </w:r>
          </w:p>
        </w:tc>
        <w:tc>
          <w:tcPr>
            <w:tcW w:w="1860" w:type="dxa"/>
            <w:tcMar>
              <w:top w:w="0" w:type="dxa"/>
              <w:bottom w:w="0" w:type="dxa"/>
            </w:tcMar>
            <w:vAlign w:val="center"/>
          </w:tcPr>
          <w:p w:rsidR="007A2ECE" w:rsidRDefault="00D32F5E">
            <w:pPr>
              <w:keepNext/>
              <w:keepLines/>
              <w:spacing w:after="0" w:line="240" w:lineRule="auto"/>
              <w:jc w:val="right"/>
            </w:pPr>
            <w:r>
              <w:rPr>
                <w:sz w:val="18"/>
              </w:rPr>
              <w:t>4.746.279,90</w:t>
            </w:r>
          </w:p>
        </w:tc>
        <w:tc>
          <w:tcPr>
            <w:tcW w:w="1860" w:type="dxa"/>
            <w:tcMar>
              <w:top w:w="0" w:type="dxa"/>
              <w:bottom w:w="0" w:type="dxa"/>
            </w:tcMar>
            <w:vAlign w:val="center"/>
          </w:tcPr>
          <w:p w:rsidR="007A2ECE" w:rsidRDefault="00D32F5E">
            <w:pPr>
              <w:keepNext/>
              <w:keepLines/>
              <w:spacing w:after="0" w:line="240" w:lineRule="auto"/>
              <w:jc w:val="right"/>
            </w:pPr>
            <w:r>
              <w:rPr>
                <w:sz w:val="18"/>
              </w:rPr>
              <w:t>4.579.475,63</w:t>
            </w:r>
          </w:p>
        </w:tc>
        <w:tc>
          <w:tcPr>
            <w:tcW w:w="700" w:type="dxa"/>
            <w:tcMar>
              <w:top w:w="0" w:type="dxa"/>
              <w:bottom w:w="0" w:type="dxa"/>
            </w:tcMar>
            <w:vAlign w:val="center"/>
          </w:tcPr>
          <w:p w:rsidR="007A2ECE" w:rsidRDefault="00D32F5E">
            <w:pPr>
              <w:keepNext/>
              <w:keepLines/>
              <w:spacing w:after="0" w:line="240" w:lineRule="auto"/>
              <w:jc w:val="right"/>
            </w:pPr>
            <w:r>
              <w:rPr>
                <w:sz w:val="18"/>
              </w:rPr>
              <w:t>96,5</w:t>
            </w:r>
          </w:p>
        </w:tc>
      </w:tr>
    </w:tbl>
    <w:p w:rsidR="007A2ECE" w:rsidRDefault="007A2ECE">
      <w:pPr>
        <w:spacing w:after="0"/>
      </w:pPr>
    </w:p>
    <w:p w:rsidR="007A2ECE" w:rsidRDefault="00D32F5E">
      <w:r>
        <w:t>Obračunati prihodi poslovanja iskazani su u iznosu od 4.579.475,63 EUR te su se smanjili za 3,5% u odnosu na stanje 31. prosinca 2024. Račun 96 odgovara iznosu računa 16.</w:t>
      </w:r>
    </w:p>
    <w:p w:rsidR="007A2ECE" w:rsidRDefault="007A2ECE"/>
    <w:p w:rsidR="007A2ECE" w:rsidRDefault="00D32F5E">
      <w:pPr>
        <w:keepNext/>
        <w:spacing w:line="240" w:lineRule="auto"/>
        <w:jc w:val="center"/>
      </w:pPr>
      <w:r>
        <w:rPr>
          <w:sz w:val="28"/>
        </w:rPr>
        <w:t>Bilješka 25.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991</w:t>
            </w:r>
          </w:p>
        </w:tc>
        <w:tc>
          <w:tcPr>
            <w:tcW w:w="3180" w:type="dxa"/>
            <w:tcMar>
              <w:top w:w="0" w:type="dxa"/>
              <w:bottom w:w="0" w:type="dxa"/>
            </w:tcMar>
            <w:vAlign w:val="center"/>
          </w:tcPr>
          <w:p w:rsidR="007A2ECE" w:rsidRDefault="00D32F5E">
            <w:pPr>
              <w:keepNext/>
              <w:keepLines/>
              <w:spacing w:after="0" w:line="240" w:lineRule="auto"/>
            </w:pPr>
            <w:proofErr w:type="spellStart"/>
            <w:r>
              <w:rPr>
                <w:sz w:val="18"/>
              </w:rPr>
              <w:t>Izvanbilančni</w:t>
            </w:r>
            <w:proofErr w:type="spellEnd"/>
            <w:r>
              <w:rPr>
                <w:sz w:val="18"/>
              </w:rPr>
              <w:t xml:space="preserve"> zapisi - aktiva (šifra 996)</w:t>
            </w:r>
          </w:p>
        </w:tc>
        <w:tc>
          <w:tcPr>
            <w:tcW w:w="700" w:type="dxa"/>
            <w:tcMar>
              <w:top w:w="0" w:type="dxa"/>
              <w:bottom w:w="0" w:type="dxa"/>
            </w:tcMar>
            <w:vAlign w:val="center"/>
          </w:tcPr>
          <w:p w:rsidR="007A2ECE" w:rsidRDefault="00D32F5E">
            <w:pPr>
              <w:keepNext/>
              <w:keepLines/>
              <w:spacing w:after="0" w:line="240" w:lineRule="auto"/>
            </w:pPr>
            <w:r>
              <w:rPr>
                <w:sz w:val="18"/>
              </w:rPr>
              <w:t>991</w:t>
            </w:r>
          </w:p>
        </w:tc>
        <w:tc>
          <w:tcPr>
            <w:tcW w:w="1860" w:type="dxa"/>
            <w:tcMar>
              <w:top w:w="0" w:type="dxa"/>
              <w:bottom w:w="0" w:type="dxa"/>
            </w:tcMar>
            <w:vAlign w:val="center"/>
          </w:tcPr>
          <w:p w:rsidR="007A2ECE" w:rsidRDefault="00D32F5E">
            <w:pPr>
              <w:keepNext/>
              <w:keepLines/>
              <w:spacing w:after="0" w:line="240" w:lineRule="auto"/>
              <w:jc w:val="right"/>
            </w:pPr>
            <w:r>
              <w:rPr>
                <w:sz w:val="18"/>
              </w:rPr>
              <w:t>1.470.540,88</w:t>
            </w:r>
          </w:p>
        </w:tc>
        <w:tc>
          <w:tcPr>
            <w:tcW w:w="1860" w:type="dxa"/>
            <w:tcMar>
              <w:top w:w="0" w:type="dxa"/>
              <w:bottom w:w="0" w:type="dxa"/>
            </w:tcMar>
            <w:vAlign w:val="center"/>
          </w:tcPr>
          <w:p w:rsidR="007A2ECE" w:rsidRDefault="00D32F5E">
            <w:pPr>
              <w:keepNext/>
              <w:keepLines/>
              <w:spacing w:after="0" w:line="240" w:lineRule="auto"/>
              <w:jc w:val="right"/>
            </w:pPr>
            <w:r>
              <w:rPr>
                <w:sz w:val="18"/>
              </w:rPr>
              <w:t>1.800.349,17</w:t>
            </w:r>
          </w:p>
        </w:tc>
        <w:tc>
          <w:tcPr>
            <w:tcW w:w="700" w:type="dxa"/>
            <w:tcMar>
              <w:top w:w="0" w:type="dxa"/>
              <w:bottom w:w="0" w:type="dxa"/>
            </w:tcMar>
            <w:vAlign w:val="center"/>
          </w:tcPr>
          <w:p w:rsidR="007A2ECE" w:rsidRDefault="00D32F5E">
            <w:pPr>
              <w:keepNext/>
              <w:keepLines/>
              <w:spacing w:after="0" w:line="240" w:lineRule="auto"/>
              <w:jc w:val="right"/>
            </w:pPr>
            <w:r>
              <w:rPr>
                <w:sz w:val="18"/>
              </w:rPr>
              <w:t>122,4</w:t>
            </w:r>
          </w:p>
        </w:tc>
      </w:tr>
    </w:tbl>
    <w:p w:rsidR="007A2ECE" w:rsidRDefault="007A2ECE">
      <w:pPr>
        <w:spacing w:after="0"/>
      </w:pPr>
    </w:p>
    <w:p w:rsidR="007A2ECE" w:rsidRDefault="00D32F5E">
      <w:r>
        <w:t xml:space="preserve">U </w:t>
      </w:r>
      <w:proofErr w:type="spellStart"/>
      <w:r>
        <w:t>izvanbilančnoj</w:t>
      </w:r>
      <w:proofErr w:type="spellEnd"/>
      <w:r>
        <w:t xml:space="preserve"> evidenciji u iznosu od 1.800.349,17 EUR je evidentirano sljedeće:</w:t>
      </w:r>
    </w:p>
    <w:p w:rsidR="007A2ECE" w:rsidRDefault="00D32F5E">
      <w:r>
        <w:t>1. tuđa imovina dobivena na korištenje u iznosu od 974.590,49 EUR (objekti i zemljište u zakupu - Sky-</w:t>
      </w:r>
      <w:proofErr w:type="spellStart"/>
      <w:r>
        <w:t>office</w:t>
      </w:r>
      <w:proofErr w:type="spellEnd"/>
      <w:r>
        <w:t xml:space="preserve">, Sljeme, </w:t>
      </w:r>
      <w:proofErr w:type="spellStart"/>
      <w:r>
        <w:t>Labinštica</w:t>
      </w:r>
      <w:proofErr w:type="spellEnd"/>
      <w:r>
        <w:t xml:space="preserve">, KMP Kockica, KMP Zrinska gora, PKMP </w:t>
      </w:r>
      <w:proofErr w:type="spellStart"/>
      <w:r>
        <w:t>Čilipi</w:t>
      </w:r>
      <w:proofErr w:type="spellEnd"/>
      <w:r>
        <w:t xml:space="preserve">, KMP Split, KMP </w:t>
      </w:r>
      <w:proofErr w:type="spellStart"/>
      <w:r>
        <w:t>Rota</w:t>
      </w:r>
      <w:proofErr w:type="spellEnd"/>
      <w:r>
        <w:t xml:space="preserve">, KMP </w:t>
      </w:r>
      <w:proofErr w:type="spellStart"/>
      <w:r>
        <w:t>Ozljak</w:t>
      </w:r>
      <w:proofErr w:type="spellEnd"/>
      <w:r>
        <w:t xml:space="preserve">, Lončarski Vis, KMP </w:t>
      </w:r>
      <w:proofErr w:type="spellStart"/>
      <w:r>
        <w:t>Degman</w:t>
      </w:r>
      <w:proofErr w:type="spellEnd"/>
      <w:r>
        <w:t>, KMP Bilogora, PKMP Sav</w:t>
      </w:r>
      <w:r>
        <w:t xml:space="preserve">udrija i KMP </w:t>
      </w:r>
      <w:proofErr w:type="spellStart"/>
      <w:r>
        <w:t>Osorščica</w:t>
      </w:r>
      <w:proofErr w:type="spellEnd"/>
      <w:r>
        <w:t>)  </w:t>
      </w:r>
    </w:p>
    <w:p w:rsidR="007A2ECE" w:rsidRDefault="00D32F5E">
      <w:r>
        <w:t>2. instrumenti osiguranja plaćanja u iznosu od 34.383,49 EUR (dani instrumenti osiguranja – detaljniji pregled u tablici niže)</w:t>
      </w:r>
    </w:p>
    <w:p w:rsidR="007A2ECE" w:rsidRDefault="00D32F5E">
      <w:r>
        <w:t>3. potencijalne obveze po osnovi sudskih sporova u tijeku u iznosu od 132.409,90 EUR (detaljniji pregle</w:t>
      </w:r>
      <w:r>
        <w:t>d u tablici niže)</w:t>
      </w:r>
    </w:p>
    <w:p w:rsidR="007A2ECE" w:rsidRDefault="00D32F5E">
      <w:r>
        <w:t>4. preuzete obveze po ugovorima o nabavi roba, radova i usluga odnose se na obveze koje proizlaze iz sklopljenih ugovora za nabavu roba, radova i usluga, osim ugovora za rashode za redovito poslovanje koji nastaju kontinuirano. Na dan 31.</w:t>
      </w:r>
      <w:r>
        <w:t xml:space="preserve"> prosinca 2025. preuzete obveze su evidentirane u iznosu od 443.654,50 EUR, a odnose se na sljedeće ugovore: Konzultantske usluge za izradu Troškovnog modela za izračun mogućnosti ekonomske replikacije (ERT) za maloprodajne usluge na tržištu zajamčenog kap</w:t>
      </w:r>
      <w:r>
        <w:t xml:space="preserve">aciteta, Ugovor o dodatnom i dopunskom zdravstvenom osiguranju, Ugovor o priključenju KMP-a Veliki </w:t>
      </w:r>
      <w:proofErr w:type="spellStart"/>
      <w:r>
        <w:t>Bokolj</w:t>
      </w:r>
      <w:proofErr w:type="spellEnd"/>
      <w:r>
        <w:t xml:space="preserve"> na elektroenergetsku distribucijsku mrežu, Ugovor o usluzi spajanja objekta PKMP </w:t>
      </w:r>
      <w:proofErr w:type="spellStart"/>
      <w:r>
        <w:t>Čilipi</w:t>
      </w:r>
      <w:proofErr w:type="spellEnd"/>
      <w:r>
        <w:t xml:space="preserve"> na MPLS mrežu, Ugovor za usluge prevođenja i Ugovor za aplikac</w:t>
      </w:r>
      <w:r>
        <w:t xml:space="preserve">iju </w:t>
      </w:r>
      <w:proofErr w:type="spellStart"/>
      <w:r>
        <w:t>Jenz</w:t>
      </w:r>
      <w:proofErr w:type="spellEnd"/>
      <w:r>
        <w:t>.</w:t>
      </w:r>
    </w:p>
    <w:p w:rsidR="007A2ECE" w:rsidRDefault="00D32F5E">
      <w:r>
        <w:lastRenderedPageBreak/>
        <w:t xml:space="preserve">5. ostali </w:t>
      </w:r>
      <w:proofErr w:type="spellStart"/>
      <w:r>
        <w:t>izvanbilančni</w:t>
      </w:r>
      <w:proofErr w:type="spellEnd"/>
      <w:r>
        <w:t xml:space="preserve"> zapisi – primljena jamstva za uredno ispunjenje ugovora i za otklanjanje nedostataka u jamstvenom roku u iznosu od 215.310,79 EUR (primljeni instrumenti osiguranja – detaljniji pregled u tablici niže).</w:t>
      </w:r>
    </w:p>
    <w:p w:rsidR="007A2ECE" w:rsidRDefault="007A2ECE"/>
    <w:p w:rsidR="007A2ECE" w:rsidRDefault="00D32F5E">
      <w:pPr>
        <w:keepNext/>
        <w:spacing w:line="240" w:lineRule="auto"/>
        <w:jc w:val="center"/>
      </w:pPr>
      <w:r>
        <w:rPr>
          <w:b/>
          <w:sz w:val="28"/>
        </w:rPr>
        <w:t>Izvještaj o rashodi</w:t>
      </w:r>
      <w:r>
        <w:rPr>
          <w:b/>
          <w:sz w:val="28"/>
        </w:rPr>
        <w:t>ma prema funkcijskoj klasifikaciji</w:t>
      </w:r>
    </w:p>
    <w:p w:rsidR="007A2ECE" w:rsidRDefault="00D32F5E">
      <w:pPr>
        <w:keepNext/>
        <w:spacing w:line="240" w:lineRule="auto"/>
        <w:jc w:val="center"/>
      </w:pPr>
      <w:r>
        <w:rPr>
          <w:sz w:val="28"/>
        </w:rPr>
        <w:t>Bilješka 26.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0486</w:t>
            </w:r>
          </w:p>
        </w:tc>
        <w:tc>
          <w:tcPr>
            <w:tcW w:w="3180" w:type="dxa"/>
            <w:tcMar>
              <w:top w:w="0" w:type="dxa"/>
              <w:bottom w:w="0" w:type="dxa"/>
            </w:tcMar>
            <w:vAlign w:val="center"/>
          </w:tcPr>
          <w:p w:rsidR="007A2ECE" w:rsidRDefault="00D32F5E">
            <w:pPr>
              <w:keepNext/>
              <w:keepLines/>
              <w:spacing w:after="0" w:line="240" w:lineRule="auto"/>
            </w:pPr>
            <w:r>
              <w:rPr>
                <w:sz w:val="18"/>
              </w:rPr>
              <w:t>Istraživanje i razvoj: Komunikacije</w:t>
            </w:r>
          </w:p>
        </w:tc>
        <w:tc>
          <w:tcPr>
            <w:tcW w:w="700" w:type="dxa"/>
            <w:tcMar>
              <w:top w:w="0" w:type="dxa"/>
              <w:bottom w:w="0" w:type="dxa"/>
            </w:tcMar>
            <w:vAlign w:val="center"/>
          </w:tcPr>
          <w:p w:rsidR="007A2ECE" w:rsidRDefault="00D32F5E">
            <w:pPr>
              <w:keepNext/>
              <w:keepLines/>
              <w:spacing w:after="0" w:line="240" w:lineRule="auto"/>
            </w:pPr>
            <w:r>
              <w:rPr>
                <w:sz w:val="18"/>
              </w:rPr>
              <w:t>0486</w:t>
            </w:r>
          </w:p>
        </w:tc>
        <w:tc>
          <w:tcPr>
            <w:tcW w:w="1860" w:type="dxa"/>
            <w:tcMar>
              <w:top w:w="0" w:type="dxa"/>
              <w:bottom w:w="0" w:type="dxa"/>
            </w:tcMar>
            <w:vAlign w:val="center"/>
          </w:tcPr>
          <w:p w:rsidR="007A2ECE" w:rsidRDefault="00D32F5E">
            <w:pPr>
              <w:keepNext/>
              <w:keepLines/>
              <w:spacing w:after="0" w:line="240" w:lineRule="auto"/>
              <w:jc w:val="right"/>
            </w:pPr>
            <w:r>
              <w:rPr>
                <w:sz w:val="18"/>
              </w:rPr>
              <w:t>13.867.823,96</w:t>
            </w:r>
          </w:p>
        </w:tc>
        <w:tc>
          <w:tcPr>
            <w:tcW w:w="1860" w:type="dxa"/>
            <w:tcMar>
              <w:top w:w="0" w:type="dxa"/>
              <w:bottom w:w="0" w:type="dxa"/>
            </w:tcMar>
            <w:vAlign w:val="center"/>
          </w:tcPr>
          <w:p w:rsidR="007A2ECE" w:rsidRDefault="00D32F5E">
            <w:pPr>
              <w:keepNext/>
              <w:keepLines/>
              <w:spacing w:after="0" w:line="240" w:lineRule="auto"/>
              <w:jc w:val="right"/>
            </w:pPr>
            <w:r>
              <w:rPr>
                <w:sz w:val="18"/>
              </w:rPr>
              <w:t>15.588.610,41</w:t>
            </w:r>
          </w:p>
        </w:tc>
        <w:tc>
          <w:tcPr>
            <w:tcW w:w="700" w:type="dxa"/>
            <w:tcMar>
              <w:top w:w="0" w:type="dxa"/>
              <w:bottom w:w="0" w:type="dxa"/>
            </w:tcMar>
            <w:vAlign w:val="center"/>
          </w:tcPr>
          <w:p w:rsidR="007A2ECE" w:rsidRDefault="00D32F5E">
            <w:pPr>
              <w:keepNext/>
              <w:keepLines/>
              <w:spacing w:after="0" w:line="240" w:lineRule="auto"/>
              <w:jc w:val="right"/>
            </w:pPr>
            <w:r>
              <w:rPr>
                <w:sz w:val="18"/>
              </w:rPr>
              <w:t>112,4</w:t>
            </w:r>
          </w:p>
        </w:tc>
      </w:tr>
    </w:tbl>
    <w:p w:rsidR="007A2ECE" w:rsidRDefault="007A2ECE">
      <w:pPr>
        <w:spacing w:after="0"/>
      </w:pPr>
    </w:p>
    <w:p w:rsidR="007A2ECE" w:rsidRDefault="00D32F5E">
      <w:r>
        <w:t>U izvještajnom razdoblju ukupni rashodi poslovanja i rashodi za nabavu nefinancijske imovine iznosili su 15.588.610,41 EUR, a prikazani su u funkcijskoj klasifikaciji 0486 - Istraživanje i razvoj: Komunikacije.   </w:t>
      </w:r>
      <w:r>
        <w:br/>
      </w:r>
      <w:r>
        <w:t>Rashodi su utrošeni za obavljanje regulatornih i inspekcijskih poslova na tržištu elektroničkih komunikacija te tržištima poštanskih i željezničkih usluga, provođenje zaštite krajnjih korisnika i putnika te gospodarenje ograničenim općim dobrima od interes</w:t>
      </w:r>
      <w:r>
        <w:t xml:space="preserve">a za Republiku Hrvatsku, kao što su nadzor i upravljanje </w:t>
      </w:r>
      <w:proofErr w:type="spellStart"/>
      <w:r>
        <w:t>radiofrekvencijskim</w:t>
      </w:r>
      <w:proofErr w:type="spellEnd"/>
      <w:r>
        <w:t xml:space="preserve"> spektrom te adresnim i brojevnim prostorom. HAKOM je također zadužen za provedbu Okvirnog nacionalnog programa za razvoj infrastrukture širokopojasnog pristupa u područjima u koji</w:t>
      </w:r>
      <w:r>
        <w:t>ma ne postoji dostatan komercijalni interes za ulaganja. Od 2024. HAKOM obnaša i ulogu Koordinatora za digitalne usluge te ima ključnu ulogu u provedbi Akta o digitalnim uslugama (DSA).</w:t>
      </w:r>
    </w:p>
    <w:p w:rsidR="007A2ECE" w:rsidRDefault="007A2ECE"/>
    <w:p w:rsidR="007A2ECE" w:rsidRDefault="00D32F5E">
      <w:pPr>
        <w:keepNext/>
        <w:spacing w:line="240" w:lineRule="auto"/>
        <w:jc w:val="center"/>
      </w:pPr>
      <w:r>
        <w:rPr>
          <w:b/>
          <w:sz w:val="28"/>
        </w:rPr>
        <w:t>Promjene u vrijednosti i obujmu imovine i obveza</w:t>
      </w:r>
    </w:p>
    <w:p w:rsidR="007A2ECE" w:rsidRDefault="00D32F5E">
      <w:pPr>
        <w:keepNext/>
        <w:spacing w:line="240" w:lineRule="auto"/>
        <w:jc w:val="center"/>
      </w:pPr>
      <w:r>
        <w:rPr>
          <w:sz w:val="28"/>
        </w:rPr>
        <w:t>Bilješka 27.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Račun i</w:t>
            </w:r>
            <w:r>
              <w:rPr>
                <w:b/>
                <w:sz w:val="18"/>
              </w:rPr>
              <w:t xml:space="preserve">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Iznos povećanja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Iznos smanjenja</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7A2ECE">
            <w:pPr>
              <w:keepNext/>
              <w:keepLines/>
              <w:spacing w:after="0" w:line="240" w:lineRule="auto"/>
            </w:pPr>
          </w:p>
        </w:tc>
        <w:tc>
          <w:tcPr>
            <w:tcW w:w="3180" w:type="dxa"/>
            <w:tcMar>
              <w:top w:w="0" w:type="dxa"/>
              <w:bottom w:w="0" w:type="dxa"/>
            </w:tcMar>
            <w:vAlign w:val="center"/>
          </w:tcPr>
          <w:p w:rsidR="007A2ECE" w:rsidRDefault="00D32F5E">
            <w:pPr>
              <w:keepNext/>
              <w:keepLines/>
              <w:spacing w:after="0" w:line="240" w:lineRule="auto"/>
            </w:pPr>
            <w:proofErr w:type="spellStart"/>
            <w:r>
              <w:rPr>
                <w:sz w:val="18"/>
              </w:rPr>
              <w:t>Neproizvedena</w:t>
            </w:r>
            <w:proofErr w:type="spellEnd"/>
            <w:r>
              <w:rPr>
                <w:sz w:val="18"/>
              </w:rPr>
              <w:t xml:space="preserve"> dugotrajna imovina</w:t>
            </w:r>
          </w:p>
        </w:tc>
        <w:tc>
          <w:tcPr>
            <w:tcW w:w="700" w:type="dxa"/>
            <w:tcMar>
              <w:top w:w="0" w:type="dxa"/>
              <w:bottom w:w="0" w:type="dxa"/>
            </w:tcMar>
            <w:vAlign w:val="center"/>
          </w:tcPr>
          <w:p w:rsidR="007A2ECE" w:rsidRDefault="00D32F5E">
            <w:pPr>
              <w:keepNext/>
              <w:keepLines/>
              <w:spacing w:after="0" w:line="240" w:lineRule="auto"/>
            </w:pPr>
            <w:r>
              <w:rPr>
                <w:sz w:val="18"/>
              </w:rPr>
              <w:t>P002</w:t>
            </w:r>
          </w:p>
        </w:tc>
        <w:tc>
          <w:tcPr>
            <w:tcW w:w="1860" w:type="dxa"/>
            <w:tcMar>
              <w:top w:w="0" w:type="dxa"/>
              <w:bottom w:w="0" w:type="dxa"/>
            </w:tcMar>
            <w:vAlign w:val="center"/>
          </w:tcPr>
          <w:p w:rsidR="007A2ECE" w:rsidRDefault="00D32F5E">
            <w:pPr>
              <w:keepNext/>
              <w:keepLines/>
              <w:spacing w:after="0" w:line="240" w:lineRule="auto"/>
              <w:jc w:val="right"/>
            </w:pPr>
            <w:r>
              <w:rPr>
                <w:sz w:val="18"/>
              </w:rPr>
              <w:t>0,00</w:t>
            </w:r>
          </w:p>
        </w:tc>
        <w:tc>
          <w:tcPr>
            <w:tcW w:w="1860" w:type="dxa"/>
            <w:tcMar>
              <w:top w:w="0" w:type="dxa"/>
              <w:bottom w:w="0" w:type="dxa"/>
            </w:tcMar>
            <w:vAlign w:val="center"/>
          </w:tcPr>
          <w:p w:rsidR="007A2ECE" w:rsidRDefault="00D32F5E">
            <w:pPr>
              <w:keepNext/>
              <w:keepLines/>
              <w:spacing w:after="0" w:line="240" w:lineRule="auto"/>
              <w:jc w:val="right"/>
            </w:pPr>
            <w:r>
              <w:rPr>
                <w:sz w:val="18"/>
              </w:rPr>
              <w:t>10.886,43</w:t>
            </w:r>
          </w:p>
        </w:tc>
        <w:tc>
          <w:tcPr>
            <w:tcW w:w="700" w:type="dxa"/>
            <w:tcMar>
              <w:top w:w="0" w:type="dxa"/>
              <w:bottom w:w="0" w:type="dxa"/>
            </w:tcMar>
            <w:vAlign w:val="center"/>
          </w:tcPr>
          <w:p w:rsidR="007A2ECE" w:rsidRDefault="00D32F5E">
            <w:pPr>
              <w:keepNext/>
              <w:keepLines/>
              <w:spacing w:after="0" w:line="240" w:lineRule="auto"/>
              <w:jc w:val="right"/>
            </w:pPr>
            <w:r>
              <w:rPr>
                <w:sz w:val="18"/>
              </w:rPr>
              <w:t>-</w:t>
            </w:r>
          </w:p>
        </w:tc>
      </w:tr>
    </w:tbl>
    <w:p w:rsidR="007A2ECE" w:rsidRDefault="007A2ECE">
      <w:pPr>
        <w:spacing w:after="0"/>
      </w:pPr>
    </w:p>
    <w:p w:rsidR="007A2ECE" w:rsidRDefault="00D32F5E">
      <w:r>
        <w:t xml:space="preserve">Smanjenje vrijednosti imovine u iznosu od 10.886,43 EUR (šifra P002) odnosi se na obračunati ispravak vrijednosti </w:t>
      </w:r>
      <w:proofErr w:type="spellStart"/>
      <w:r>
        <w:t>neproizvedene</w:t>
      </w:r>
      <w:proofErr w:type="spellEnd"/>
      <w:r>
        <w:t xml:space="preserve"> dugotrajne imovine u 2025.</w:t>
      </w:r>
    </w:p>
    <w:p w:rsidR="007A2ECE" w:rsidRDefault="007A2ECE"/>
    <w:p w:rsidR="007A2ECE" w:rsidRDefault="00D32F5E">
      <w:pPr>
        <w:keepNext/>
        <w:spacing w:line="240" w:lineRule="auto"/>
        <w:jc w:val="center"/>
      </w:pPr>
      <w:r>
        <w:rPr>
          <w:sz w:val="28"/>
        </w:rPr>
        <w:t>Bilješka 28.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Iznos povećanja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Iznos smanjenja</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7A2ECE">
            <w:pPr>
              <w:keepNext/>
              <w:keepLines/>
              <w:spacing w:after="0" w:line="240" w:lineRule="auto"/>
            </w:pPr>
          </w:p>
        </w:tc>
        <w:tc>
          <w:tcPr>
            <w:tcW w:w="3180" w:type="dxa"/>
            <w:tcMar>
              <w:top w:w="0" w:type="dxa"/>
              <w:bottom w:w="0" w:type="dxa"/>
            </w:tcMar>
            <w:vAlign w:val="center"/>
          </w:tcPr>
          <w:p w:rsidR="007A2ECE" w:rsidRDefault="00D32F5E">
            <w:pPr>
              <w:keepNext/>
              <w:keepLines/>
              <w:spacing w:after="0" w:line="240" w:lineRule="auto"/>
            </w:pPr>
            <w:r>
              <w:rPr>
                <w:sz w:val="18"/>
              </w:rPr>
              <w:t>Proizvedena dugotrajna imovina</w:t>
            </w:r>
          </w:p>
        </w:tc>
        <w:tc>
          <w:tcPr>
            <w:tcW w:w="700" w:type="dxa"/>
            <w:tcMar>
              <w:top w:w="0" w:type="dxa"/>
              <w:bottom w:w="0" w:type="dxa"/>
            </w:tcMar>
            <w:vAlign w:val="center"/>
          </w:tcPr>
          <w:p w:rsidR="007A2ECE" w:rsidRDefault="00D32F5E">
            <w:pPr>
              <w:keepNext/>
              <w:keepLines/>
              <w:spacing w:after="0" w:line="240" w:lineRule="auto"/>
            </w:pPr>
            <w:r>
              <w:rPr>
                <w:sz w:val="18"/>
              </w:rPr>
              <w:t>P003</w:t>
            </w:r>
          </w:p>
        </w:tc>
        <w:tc>
          <w:tcPr>
            <w:tcW w:w="1860" w:type="dxa"/>
            <w:tcMar>
              <w:top w:w="0" w:type="dxa"/>
              <w:bottom w:w="0" w:type="dxa"/>
            </w:tcMar>
            <w:vAlign w:val="center"/>
          </w:tcPr>
          <w:p w:rsidR="007A2ECE" w:rsidRDefault="00D32F5E">
            <w:pPr>
              <w:keepNext/>
              <w:keepLines/>
              <w:spacing w:after="0" w:line="240" w:lineRule="auto"/>
              <w:jc w:val="right"/>
            </w:pPr>
            <w:r>
              <w:rPr>
                <w:sz w:val="18"/>
              </w:rPr>
              <w:t>0,00</w:t>
            </w:r>
          </w:p>
        </w:tc>
        <w:tc>
          <w:tcPr>
            <w:tcW w:w="1860" w:type="dxa"/>
            <w:tcMar>
              <w:top w:w="0" w:type="dxa"/>
              <w:bottom w:w="0" w:type="dxa"/>
            </w:tcMar>
            <w:vAlign w:val="center"/>
          </w:tcPr>
          <w:p w:rsidR="007A2ECE" w:rsidRDefault="00D32F5E">
            <w:pPr>
              <w:keepNext/>
              <w:keepLines/>
              <w:spacing w:after="0" w:line="240" w:lineRule="auto"/>
              <w:jc w:val="right"/>
            </w:pPr>
            <w:r>
              <w:rPr>
                <w:sz w:val="18"/>
              </w:rPr>
              <w:t>1.205.306,74</w:t>
            </w:r>
          </w:p>
        </w:tc>
        <w:tc>
          <w:tcPr>
            <w:tcW w:w="700" w:type="dxa"/>
            <w:tcMar>
              <w:top w:w="0" w:type="dxa"/>
              <w:bottom w:w="0" w:type="dxa"/>
            </w:tcMar>
            <w:vAlign w:val="center"/>
          </w:tcPr>
          <w:p w:rsidR="007A2ECE" w:rsidRDefault="00D32F5E">
            <w:pPr>
              <w:keepNext/>
              <w:keepLines/>
              <w:spacing w:after="0" w:line="240" w:lineRule="auto"/>
              <w:jc w:val="right"/>
            </w:pPr>
            <w:r>
              <w:rPr>
                <w:sz w:val="18"/>
              </w:rPr>
              <w:t>-</w:t>
            </w:r>
          </w:p>
        </w:tc>
      </w:tr>
    </w:tbl>
    <w:p w:rsidR="007A2ECE" w:rsidRDefault="007A2ECE">
      <w:pPr>
        <w:spacing w:after="0"/>
      </w:pPr>
    </w:p>
    <w:p w:rsidR="007A2ECE" w:rsidRDefault="00D32F5E">
      <w:r>
        <w:lastRenderedPageBreak/>
        <w:t>Smanjenje vrijednosti imovine u iznosu od 1.205.306,74 EUR (šifra P003) odnosi se na obračunati ispravak vrijednosti proizvedene dugotrajne imovine u 2025. i na rashodovanje proizvedene dugotrajne imovine (besprekidno napajanje UPS Eaton 9E10Ki) koja je im</w:t>
      </w:r>
      <w:r>
        <w:t xml:space="preserve">ala sadašnju vrijednost (1.573,93 EUR). Imovina je rashodovana prilikom godišnjeg popisa imovine zbog neupotrebljivosti uslijed grmljavinskog nevremena na KMP-u </w:t>
      </w:r>
      <w:proofErr w:type="spellStart"/>
      <w:r>
        <w:t>Osorščica</w:t>
      </w:r>
      <w:proofErr w:type="spellEnd"/>
      <w:r>
        <w:t xml:space="preserve"> te će biti predana za ekološko zbrinjavanje u 2026.</w:t>
      </w:r>
    </w:p>
    <w:p w:rsidR="007A2ECE" w:rsidRDefault="007A2ECE"/>
    <w:p w:rsidR="007A2ECE" w:rsidRDefault="00D32F5E">
      <w:pPr>
        <w:keepNext/>
        <w:spacing w:line="240" w:lineRule="auto"/>
        <w:jc w:val="center"/>
      </w:pPr>
      <w:r>
        <w:rPr>
          <w:sz w:val="28"/>
        </w:rPr>
        <w:t>Bilješka 29.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Iznos povećanja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Iznos smanjenja</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7A2ECE">
            <w:pPr>
              <w:keepNext/>
              <w:keepLines/>
              <w:spacing w:after="0" w:line="240" w:lineRule="auto"/>
            </w:pPr>
          </w:p>
        </w:tc>
        <w:tc>
          <w:tcPr>
            <w:tcW w:w="3180" w:type="dxa"/>
            <w:tcMar>
              <w:top w:w="0" w:type="dxa"/>
              <w:bottom w:w="0" w:type="dxa"/>
            </w:tcMar>
            <w:vAlign w:val="center"/>
          </w:tcPr>
          <w:p w:rsidR="007A2ECE" w:rsidRDefault="00D32F5E">
            <w:pPr>
              <w:keepNext/>
              <w:keepLines/>
              <w:spacing w:after="0" w:line="240" w:lineRule="auto"/>
            </w:pPr>
            <w:r>
              <w:rPr>
                <w:sz w:val="18"/>
              </w:rPr>
              <w:t>Proizvedena dugotrajna imovina</w:t>
            </w:r>
          </w:p>
        </w:tc>
        <w:tc>
          <w:tcPr>
            <w:tcW w:w="700" w:type="dxa"/>
            <w:tcMar>
              <w:top w:w="0" w:type="dxa"/>
              <w:bottom w:w="0" w:type="dxa"/>
            </w:tcMar>
            <w:vAlign w:val="center"/>
          </w:tcPr>
          <w:p w:rsidR="007A2ECE" w:rsidRDefault="00D32F5E">
            <w:pPr>
              <w:keepNext/>
              <w:keepLines/>
              <w:spacing w:after="0" w:line="240" w:lineRule="auto"/>
            </w:pPr>
            <w:r>
              <w:rPr>
                <w:sz w:val="18"/>
              </w:rPr>
              <w:t>P018</w:t>
            </w:r>
          </w:p>
        </w:tc>
        <w:tc>
          <w:tcPr>
            <w:tcW w:w="1860" w:type="dxa"/>
            <w:tcMar>
              <w:top w:w="0" w:type="dxa"/>
              <w:bottom w:w="0" w:type="dxa"/>
            </w:tcMar>
            <w:vAlign w:val="center"/>
          </w:tcPr>
          <w:p w:rsidR="007A2ECE" w:rsidRDefault="00D32F5E">
            <w:pPr>
              <w:keepNext/>
              <w:keepLines/>
              <w:spacing w:after="0" w:line="240" w:lineRule="auto"/>
              <w:jc w:val="right"/>
            </w:pPr>
            <w:r>
              <w:rPr>
                <w:sz w:val="18"/>
              </w:rPr>
              <w:t>1.500,00</w:t>
            </w:r>
          </w:p>
        </w:tc>
        <w:tc>
          <w:tcPr>
            <w:tcW w:w="1860" w:type="dxa"/>
            <w:tcMar>
              <w:top w:w="0" w:type="dxa"/>
              <w:bottom w:w="0" w:type="dxa"/>
            </w:tcMar>
            <w:vAlign w:val="center"/>
          </w:tcPr>
          <w:p w:rsidR="007A2ECE" w:rsidRDefault="00D32F5E">
            <w:pPr>
              <w:keepNext/>
              <w:keepLines/>
              <w:spacing w:after="0" w:line="240" w:lineRule="auto"/>
              <w:jc w:val="right"/>
            </w:pPr>
            <w:r>
              <w:rPr>
                <w:sz w:val="18"/>
              </w:rPr>
              <w:t>0,00</w:t>
            </w:r>
          </w:p>
        </w:tc>
        <w:tc>
          <w:tcPr>
            <w:tcW w:w="700" w:type="dxa"/>
            <w:tcMar>
              <w:top w:w="0" w:type="dxa"/>
              <w:bottom w:w="0" w:type="dxa"/>
            </w:tcMar>
            <w:vAlign w:val="center"/>
          </w:tcPr>
          <w:p w:rsidR="007A2ECE" w:rsidRDefault="00D32F5E">
            <w:pPr>
              <w:keepNext/>
              <w:keepLines/>
              <w:spacing w:after="0" w:line="240" w:lineRule="auto"/>
              <w:jc w:val="right"/>
            </w:pPr>
            <w:r>
              <w:rPr>
                <w:sz w:val="18"/>
              </w:rPr>
              <w:t>0</w:t>
            </w:r>
          </w:p>
        </w:tc>
      </w:tr>
    </w:tbl>
    <w:p w:rsidR="007A2ECE" w:rsidRDefault="007A2ECE">
      <w:pPr>
        <w:spacing w:after="0"/>
      </w:pPr>
    </w:p>
    <w:p w:rsidR="007A2ECE" w:rsidRDefault="00D32F5E">
      <w:r>
        <w:t xml:space="preserve">Povećanje obujma nefinancijske imovine u iznosu od 1.500,00 EUR (šifra P018) odnosi se na inventurom utvrđen višak proizvedene dugotrajne imovine (četiri kamere Bosch </w:t>
      </w:r>
      <w:proofErr w:type="spellStart"/>
      <w:r>
        <w:t>Flexidome</w:t>
      </w:r>
      <w:proofErr w:type="spellEnd"/>
      <w:r>
        <w:t xml:space="preserve"> IP </w:t>
      </w:r>
      <w:proofErr w:type="spellStart"/>
      <w:r>
        <w:t>indoor</w:t>
      </w:r>
      <w:proofErr w:type="spellEnd"/>
      <w:r>
        <w:t xml:space="preserve"> 4000i).</w:t>
      </w:r>
    </w:p>
    <w:p w:rsidR="007A2ECE" w:rsidRDefault="007A2ECE"/>
    <w:p w:rsidR="007A2ECE" w:rsidRDefault="00D32F5E">
      <w:pPr>
        <w:keepNext/>
        <w:spacing w:line="240" w:lineRule="auto"/>
        <w:jc w:val="center"/>
      </w:pPr>
      <w:r>
        <w:rPr>
          <w:sz w:val="28"/>
        </w:rPr>
        <w:t>Bilješka 30.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Iznos pov</w:t>
            </w:r>
            <w:r>
              <w:rPr>
                <w:b/>
                <w:sz w:val="18"/>
              </w:rPr>
              <w:t>ećanja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Iznos smanjenja</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7A2ECE">
            <w:pPr>
              <w:keepNext/>
              <w:keepLines/>
              <w:spacing w:after="0" w:line="240" w:lineRule="auto"/>
            </w:pPr>
          </w:p>
        </w:tc>
        <w:tc>
          <w:tcPr>
            <w:tcW w:w="3180" w:type="dxa"/>
            <w:tcMar>
              <w:top w:w="0" w:type="dxa"/>
              <w:bottom w:w="0" w:type="dxa"/>
            </w:tcMar>
            <w:vAlign w:val="center"/>
          </w:tcPr>
          <w:p w:rsidR="007A2ECE" w:rsidRDefault="00D32F5E">
            <w:pPr>
              <w:keepNext/>
              <w:keepLines/>
              <w:spacing w:after="0" w:line="240" w:lineRule="auto"/>
            </w:pPr>
            <w:r>
              <w:rPr>
                <w:sz w:val="18"/>
              </w:rPr>
              <w:t>Potraživanja za prihode poslovanja</w:t>
            </w:r>
          </w:p>
        </w:tc>
        <w:tc>
          <w:tcPr>
            <w:tcW w:w="700" w:type="dxa"/>
            <w:tcMar>
              <w:top w:w="0" w:type="dxa"/>
              <w:bottom w:w="0" w:type="dxa"/>
            </w:tcMar>
            <w:vAlign w:val="center"/>
          </w:tcPr>
          <w:p w:rsidR="007A2ECE" w:rsidRDefault="00D32F5E">
            <w:pPr>
              <w:keepNext/>
              <w:keepLines/>
              <w:spacing w:after="0" w:line="240" w:lineRule="auto"/>
            </w:pPr>
            <w:r>
              <w:rPr>
                <w:sz w:val="18"/>
              </w:rPr>
              <w:t>P029</w:t>
            </w:r>
          </w:p>
        </w:tc>
        <w:tc>
          <w:tcPr>
            <w:tcW w:w="1860" w:type="dxa"/>
            <w:tcMar>
              <w:top w:w="0" w:type="dxa"/>
              <w:bottom w:w="0" w:type="dxa"/>
            </w:tcMar>
            <w:vAlign w:val="center"/>
          </w:tcPr>
          <w:p w:rsidR="007A2ECE" w:rsidRDefault="00D32F5E">
            <w:pPr>
              <w:keepNext/>
              <w:keepLines/>
              <w:spacing w:after="0" w:line="240" w:lineRule="auto"/>
              <w:jc w:val="right"/>
            </w:pPr>
            <w:r>
              <w:rPr>
                <w:sz w:val="18"/>
              </w:rPr>
              <w:t>0,00</w:t>
            </w:r>
          </w:p>
        </w:tc>
        <w:tc>
          <w:tcPr>
            <w:tcW w:w="1860" w:type="dxa"/>
            <w:tcMar>
              <w:top w:w="0" w:type="dxa"/>
              <w:bottom w:w="0" w:type="dxa"/>
            </w:tcMar>
            <w:vAlign w:val="center"/>
          </w:tcPr>
          <w:p w:rsidR="007A2ECE" w:rsidRDefault="00D32F5E">
            <w:pPr>
              <w:keepNext/>
              <w:keepLines/>
              <w:spacing w:after="0" w:line="240" w:lineRule="auto"/>
              <w:jc w:val="right"/>
            </w:pPr>
            <w:r>
              <w:rPr>
                <w:sz w:val="18"/>
              </w:rPr>
              <w:t>4.019,66</w:t>
            </w:r>
          </w:p>
        </w:tc>
        <w:tc>
          <w:tcPr>
            <w:tcW w:w="700" w:type="dxa"/>
            <w:tcMar>
              <w:top w:w="0" w:type="dxa"/>
              <w:bottom w:w="0" w:type="dxa"/>
            </w:tcMar>
            <w:vAlign w:val="center"/>
          </w:tcPr>
          <w:p w:rsidR="007A2ECE" w:rsidRDefault="00D32F5E">
            <w:pPr>
              <w:keepNext/>
              <w:keepLines/>
              <w:spacing w:after="0" w:line="240" w:lineRule="auto"/>
              <w:jc w:val="right"/>
            </w:pPr>
            <w:r>
              <w:rPr>
                <w:sz w:val="18"/>
              </w:rPr>
              <w:t>-</w:t>
            </w:r>
          </w:p>
        </w:tc>
      </w:tr>
    </w:tbl>
    <w:p w:rsidR="007A2ECE" w:rsidRDefault="007A2ECE">
      <w:pPr>
        <w:spacing w:after="0"/>
      </w:pPr>
    </w:p>
    <w:p w:rsidR="007A2ECE" w:rsidRDefault="00D32F5E">
      <w:r>
        <w:t>Smanjenje obujma financijske imovine u iznosu od 4.019,66 EUR (šifra P029) odnosi se na otpis zastarjelih potraživanja za prihode poslovanja koja nije moguće naplatiti jer su poslovni subjekti ugašeni i brisani iz sudskog registra i registra plovila Minist</w:t>
      </w:r>
      <w:r>
        <w:t>arstva mora, prometa i infrastrukture ili je po istima nastupila zastara.</w:t>
      </w:r>
    </w:p>
    <w:p w:rsidR="007A2ECE" w:rsidRDefault="007A2ECE"/>
    <w:p w:rsidR="007A2ECE" w:rsidRDefault="00D32F5E">
      <w:pPr>
        <w:keepNext/>
        <w:spacing w:line="240" w:lineRule="auto"/>
        <w:jc w:val="center"/>
      </w:pPr>
      <w:r>
        <w:rPr>
          <w:sz w:val="28"/>
        </w:rPr>
        <w:t>Bilješka 31.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Iznos povećanja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Iznos smanjenja</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7A2ECE">
            <w:pPr>
              <w:keepNext/>
              <w:keepLines/>
              <w:spacing w:after="0" w:line="240" w:lineRule="auto"/>
            </w:pPr>
          </w:p>
        </w:tc>
        <w:tc>
          <w:tcPr>
            <w:tcW w:w="3180" w:type="dxa"/>
            <w:tcMar>
              <w:top w:w="0" w:type="dxa"/>
              <w:bottom w:w="0" w:type="dxa"/>
            </w:tcMar>
            <w:vAlign w:val="center"/>
          </w:tcPr>
          <w:p w:rsidR="007A2ECE" w:rsidRDefault="00D32F5E">
            <w:pPr>
              <w:keepNext/>
              <w:keepLines/>
              <w:spacing w:after="0" w:line="240" w:lineRule="auto"/>
            </w:pPr>
            <w:r>
              <w:rPr>
                <w:sz w:val="18"/>
              </w:rPr>
              <w:t>Obveze za rashode poslovanja</w:t>
            </w:r>
          </w:p>
        </w:tc>
        <w:tc>
          <w:tcPr>
            <w:tcW w:w="700" w:type="dxa"/>
            <w:tcMar>
              <w:top w:w="0" w:type="dxa"/>
              <w:bottom w:w="0" w:type="dxa"/>
            </w:tcMar>
            <w:vAlign w:val="center"/>
          </w:tcPr>
          <w:p w:rsidR="007A2ECE" w:rsidRDefault="00D32F5E">
            <w:pPr>
              <w:keepNext/>
              <w:keepLines/>
              <w:spacing w:after="0" w:line="240" w:lineRule="auto"/>
            </w:pPr>
            <w:r>
              <w:rPr>
                <w:sz w:val="18"/>
              </w:rPr>
              <w:t>P035</w:t>
            </w:r>
          </w:p>
        </w:tc>
        <w:tc>
          <w:tcPr>
            <w:tcW w:w="1860" w:type="dxa"/>
            <w:tcMar>
              <w:top w:w="0" w:type="dxa"/>
              <w:bottom w:w="0" w:type="dxa"/>
            </w:tcMar>
            <w:vAlign w:val="center"/>
          </w:tcPr>
          <w:p w:rsidR="007A2ECE" w:rsidRDefault="00D32F5E">
            <w:pPr>
              <w:keepNext/>
              <w:keepLines/>
              <w:spacing w:after="0" w:line="240" w:lineRule="auto"/>
              <w:jc w:val="right"/>
            </w:pPr>
            <w:r>
              <w:rPr>
                <w:sz w:val="18"/>
              </w:rPr>
              <w:t>0,00</w:t>
            </w:r>
          </w:p>
        </w:tc>
        <w:tc>
          <w:tcPr>
            <w:tcW w:w="1860" w:type="dxa"/>
            <w:tcMar>
              <w:top w:w="0" w:type="dxa"/>
              <w:bottom w:w="0" w:type="dxa"/>
            </w:tcMar>
            <w:vAlign w:val="center"/>
          </w:tcPr>
          <w:p w:rsidR="007A2ECE" w:rsidRDefault="00D32F5E">
            <w:pPr>
              <w:keepNext/>
              <w:keepLines/>
              <w:spacing w:after="0" w:line="240" w:lineRule="auto"/>
              <w:jc w:val="right"/>
            </w:pPr>
            <w:r>
              <w:rPr>
                <w:sz w:val="18"/>
              </w:rPr>
              <w:t>286,84</w:t>
            </w:r>
          </w:p>
        </w:tc>
        <w:tc>
          <w:tcPr>
            <w:tcW w:w="700" w:type="dxa"/>
            <w:tcMar>
              <w:top w:w="0" w:type="dxa"/>
              <w:bottom w:w="0" w:type="dxa"/>
            </w:tcMar>
            <w:vAlign w:val="center"/>
          </w:tcPr>
          <w:p w:rsidR="007A2ECE" w:rsidRDefault="00D32F5E">
            <w:pPr>
              <w:keepNext/>
              <w:keepLines/>
              <w:spacing w:after="0" w:line="240" w:lineRule="auto"/>
              <w:jc w:val="right"/>
            </w:pPr>
            <w:r>
              <w:rPr>
                <w:sz w:val="18"/>
              </w:rPr>
              <w:t>-</w:t>
            </w:r>
          </w:p>
        </w:tc>
      </w:tr>
    </w:tbl>
    <w:p w:rsidR="007A2ECE" w:rsidRDefault="007A2ECE">
      <w:pPr>
        <w:spacing w:after="0"/>
      </w:pPr>
    </w:p>
    <w:p w:rsidR="007A2ECE" w:rsidRDefault="00D32F5E">
      <w:r>
        <w:t>Smanjenje obujma obveza u iznosu od 286,84 EUR (šifra P035) odnosi se na otpis obveze za rashode poslovanja za koju je nastupila zastara. Obveza se odnosila na naknadu za neiskorišteni godišnji odmor pokojne zaposlenice. HAKOM je u nekoliko navrata pokušav</w:t>
      </w:r>
      <w:r>
        <w:t>ao pribaviti podatke o nasljednicima, ali isti nisu dostavljeni jer nije provedena ostavinska rasprava.</w:t>
      </w:r>
    </w:p>
    <w:p w:rsidR="007A2ECE" w:rsidRDefault="007A2ECE"/>
    <w:p w:rsidR="007A2ECE" w:rsidRDefault="00D32F5E">
      <w:pPr>
        <w:keepNext/>
        <w:spacing w:line="240" w:lineRule="auto"/>
        <w:jc w:val="center"/>
      </w:pPr>
      <w:r>
        <w:rPr>
          <w:b/>
          <w:sz w:val="28"/>
        </w:rPr>
        <w:lastRenderedPageBreak/>
        <w:t>Izvještaj o obvezama</w:t>
      </w:r>
    </w:p>
    <w:p w:rsidR="007A2ECE" w:rsidRDefault="00D32F5E">
      <w:pPr>
        <w:keepNext/>
        <w:spacing w:line="240" w:lineRule="auto"/>
        <w:jc w:val="center"/>
      </w:pPr>
      <w:r>
        <w:rPr>
          <w:sz w:val="28"/>
        </w:rPr>
        <w:t>Bilješka 32.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883"/>
        <w:gridCol w:w="4008"/>
        <w:gridCol w:w="882"/>
        <w:gridCol w:w="2345"/>
        <w:gridCol w:w="882"/>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7A2ECE">
            <w:pPr>
              <w:keepNext/>
              <w:keepLines/>
              <w:spacing w:after="0" w:line="240" w:lineRule="auto"/>
            </w:pPr>
          </w:p>
        </w:tc>
        <w:tc>
          <w:tcPr>
            <w:tcW w:w="3180" w:type="dxa"/>
            <w:tcMar>
              <w:top w:w="0" w:type="dxa"/>
              <w:bottom w:w="0" w:type="dxa"/>
            </w:tcMar>
            <w:vAlign w:val="center"/>
          </w:tcPr>
          <w:p w:rsidR="007A2ECE" w:rsidRDefault="00D32F5E">
            <w:pPr>
              <w:keepNext/>
              <w:keepLines/>
              <w:spacing w:after="0" w:line="240" w:lineRule="auto"/>
            </w:pPr>
            <w:r>
              <w:rPr>
                <w:sz w:val="18"/>
              </w:rPr>
              <w:t xml:space="preserve">Stanje obveza na kraju izvještajnog razdoblja (šifre </w:t>
            </w:r>
            <w:r>
              <w:rPr>
                <w:sz w:val="18"/>
              </w:rPr>
              <w:t>V001+V002-V004) i (šifre V007+V009)</w:t>
            </w:r>
          </w:p>
        </w:tc>
        <w:tc>
          <w:tcPr>
            <w:tcW w:w="700" w:type="dxa"/>
            <w:tcMar>
              <w:top w:w="0" w:type="dxa"/>
              <w:bottom w:w="0" w:type="dxa"/>
            </w:tcMar>
            <w:vAlign w:val="center"/>
          </w:tcPr>
          <w:p w:rsidR="007A2ECE" w:rsidRDefault="00D32F5E">
            <w:pPr>
              <w:keepNext/>
              <w:keepLines/>
              <w:spacing w:after="0" w:line="240" w:lineRule="auto"/>
            </w:pPr>
            <w:r>
              <w:rPr>
                <w:sz w:val="18"/>
              </w:rPr>
              <w:t>V006</w:t>
            </w:r>
          </w:p>
        </w:tc>
        <w:tc>
          <w:tcPr>
            <w:tcW w:w="1860" w:type="dxa"/>
            <w:tcMar>
              <w:top w:w="0" w:type="dxa"/>
              <w:bottom w:w="0" w:type="dxa"/>
            </w:tcMar>
            <w:vAlign w:val="center"/>
          </w:tcPr>
          <w:p w:rsidR="007A2ECE" w:rsidRDefault="00D32F5E">
            <w:pPr>
              <w:keepNext/>
              <w:keepLines/>
              <w:spacing w:after="0" w:line="240" w:lineRule="auto"/>
              <w:jc w:val="right"/>
            </w:pPr>
            <w:r>
              <w:rPr>
                <w:sz w:val="18"/>
              </w:rPr>
              <w:t>1.241.075,36</w:t>
            </w:r>
          </w:p>
        </w:tc>
        <w:tc>
          <w:tcPr>
            <w:tcW w:w="700" w:type="dxa"/>
            <w:tcMar>
              <w:top w:w="0" w:type="dxa"/>
              <w:bottom w:w="0" w:type="dxa"/>
            </w:tcMar>
            <w:vAlign w:val="center"/>
          </w:tcPr>
          <w:p w:rsidR="007A2ECE" w:rsidRDefault="00D32F5E">
            <w:pPr>
              <w:keepNext/>
              <w:keepLines/>
              <w:spacing w:after="0" w:line="240" w:lineRule="auto"/>
              <w:jc w:val="right"/>
            </w:pPr>
            <w:r>
              <w:rPr>
                <w:sz w:val="18"/>
              </w:rPr>
              <w:t>-</w:t>
            </w:r>
          </w:p>
        </w:tc>
      </w:tr>
    </w:tbl>
    <w:p w:rsidR="007A2ECE" w:rsidRDefault="007A2ECE">
      <w:pPr>
        <w:spacing w:after="0"/>
      </w:pPr>
    </w:p>
    <w:p w:rsidR="007A2ECE" w:rsidRDefault="00D32F5E">
      <w:r>
        <w:t>Stanje obveza na dan 31. prosinca 2025. iznosi 1.241.075,36 EUR.</w:t>
      </w:r>
    </w:p>
    <w:p w:rsidR="007A2ECE" w:rsidRDefault="007A2ECE"/>
    <w:p w:rsidR="007A2ECE" w:rsidRDefault="00D32F5E">
      <w:pPr>
        <w:keepNext/>
        <w:spacing w:line="240" w:lineRule="auto"/>
        <w:jc w:val="center"/>
      </w:pPr>
      <w:r>
        <w:rPr>
          <w:sz w:val="28"/>
        </w:rPr>
        <w:t>Bilješka 33.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883"/>
        <w:gridCol w:w="4008"/>
        <w:gridCol w:w="882"/>
        <w:gridCol w:w="2345"/>
        <w:gridCol w:w="882"/>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7A2ECE">
            <w:pPr>
              <w:keepNext/>
              <w:keepLines/>
              <w:spacing w:after="0" w:line="240" w:lineRule="auto"/>
            </w:pPr>
          </w:p>
        </w:tc>
        <w:tc>
          <w:tcPr>
            <w:tcW w:w="3180" w:type="dxa"/>
            <w:tcMar>
              <w:top w:w="0" w:type="dxa"/>
              <w:bottom w:w="0" w:type="dxa"/>
            </w:tcMar>
            <w:vAlign w:val="center"/>
          </w:tcPr>
          <w:p w:rsidR="007A2ECE" w:rsidRDefault="00D32F5E">
            <w:pPr>
              <w:keepNext/>
              <w:keepLines/>
              <w:spacing w:after="0" w:line="240" w:lineRule="auto"/>
            </w:pPr>
            <w:r>
              <w:rPr>
                <w:sz w:val="18"/>
              </w:rPr>
              <w:t>Stanje dospjelih obveza na kraju izvještajnog razdoblja (šifre</w:t>
            </w:r>
            <w:r>
              <w:rPr>
                <w:sz w:val="18"/>
              </w:rPr>
              <w:t xml:space="preserve"> V008+D23+D24 + 'D dio 25,26' + D27)</w:t>
            </w:r>
          </w:p>
        </w:tc>
        <w:tc>
          <w:tcPr>
            <w:tcW w:w="700" w:type="dxa"/>
            <w:tcMar>
              <w:top w:w="0" w:type="dxa"/>
              <w:bottom w:w="0" w:type="dxa"/>
            </w:tcMar>
            <w:vAlign w:val="center"/>
          </w:tcPr>
          <w:p w:rsidR="007A2ECE" w:rsidRDefault="00D32F5E">
            <w:pPr>
              <w:keepNext/>
              <w:keepLines/>
              <w:spacing w:after="0" w:line="240" w:lineRule="auto"/>
            </w:pPr>
            <w:r>
              <w:rPr>
                <w:sz w:val="18"/>
              </w:rPr>
              <w:t>V007</w:t>
            </w:r>
          </w:p>
        </w:tc>
        <w:tc>
          <w:tcPr>
            <w:tcW w:w="1860" w:type="dxa"/>
            <w:tcMar>
              <w:top w:w="0" w:type="dxa"/>
              <w:bottom w:w="0" w:type="dxa"/>
            </w:tcMar>
            <w:vAlign w:val="center"/>
          </w:tcPr>
          <w:p w:rsidR="007A2ECE" w:rsidRDefault="00D32F5E">
            <w:pPr>
              <w:keepNext/>
              <w:keepLines/>
              <w:spacing w:after="0" w:line="240" w:lineRule="auto"/>
              <w:jc w:val="right"/>
            </w:pPr>
            <w:r>
              <w:rPr>
                <w:sz w:val="18"/>
              </w:rPr>
              <w:t>0,00</w:t>
            </w:r>
          </w:p>
        </w:tc>
        <w:tc>
          <w:tcPr>
            <w:tcW w:w="700" w:type="dxa"/>
            <w:tcMar>
              <w:top w:w="0" w:type="dxa"/>
              <w:bottom w:w="0" w:type="dxa"/>
            </w:tcMar>
            <w:vAlign w:val="center"/>
          </w:tcPr>
          <w:p w:rsidR="007A2ECE" w:rsidRDefault="00D32F5E">
            <w:pPr>
              <w:keepNext/>
              <w:keepLines/>
              <w:spacing w:after="0" w:line="240" w:lineRule="auto"/>
              <w:jc w:val="right"/>
            </w:pPr>
            <w:r>
              <w:rPr>
                <w:sz w:val="18"/>
              </w:rPr>
              <w:t>-</w:t>
            </w:r>
          </w:p>
        </w:tc>
      </w:tr>
    </w:tbl>
    <w:p w:rsidR="007A2ECE" w:rsidRDefault="007A2ECE">
      <w:pPr>
        <w:spacing w:after="0"/>
      </w:pPr>
    </w:p>
    <w:p w:rsidR="007A2ECE" w:rsidRDefault="00D32F5E">
      <w:r>
        <w:t>Sa stanjem na dan 31. prosinca 2025. nisu evidentirane dospjele obveze.</w:t>
      </w:r>
    </w:p>
    <w:p w:rsidR="007A2ECE" w:rsidRDefault="007A2ECE"/>
    <w:p w:rsidR="007A2ECE" w:rsidRDefault="00D32F5E">
      <w:pPr>
        <w:keepNext/>
        <w:spacing w:line="240" w:lineRule="auto"/>
        <w:jc w:val="center"/>
      </w:pPr>
      <w:r>
        <w:rPr>
          <w:sz w:val="28"/>
        </w:rPr>
        <w:t>Bilješka 34.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883"/>
        <w:gridCol w:w="4008"/>
        <w:gridCol w:w="882"/>
        <w:gridCol w:w="2345"/>
        <w:gridCol w:w="882"/>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7A2ECE">
            <w:pPr>
              <w:keepNext/>
              <w:keepLines/>
              <w:spacing w:after="0" w:line="240" w:lineRule="auto"/>
            </w:pPr>
          </w:p>
        </w:tc>
        <w:tc>
          <w:tcPr>
            <w:tcW w:w="3180" w:type="dxa"/>
            <w:tcMar>
              <w:top w:w="0" w:type="dxa"/>
              <w:bottom w:w="0" w:type="dxa"/>
            </w:tcMar>
            <w:vAlign w:val="center"/>
          </w:tcPr>
          <w:p w:rsidR="007A2ECE" w:rsidRDefault="00D32F5E">
            <w:pPr>
              <w:keepNext/>
              <w:keepLines/>
              <w:spacing w:after="0" w:line="240" w:lineRule="auto"/>
            </w:pPr>
            <w:r>
              <w:rPr>
                <w:sz w:val="18"/>
              </w:rPr>
              <w:t>Međusobne obveze subjekata općeg proračuna</w:t>
            </w:r>
          </w:p>
        </w:tc>
        <w:tc>
          <w:tcPr>
            <w:tcW w:w="700" w:type="dxa"/>
            <w:tcMar>
              <w:top w:w="0" w:type="dxa"/>
              <w:bottom w:w="0" w:type="dxa"/>
            </w:tcMar>
            <w:vAlign w:val="center"/>
          </w:tcPr>
          <w:p w:rsidR="007A2ECE" w:rsidRDefault="00D32F5E">
            <w:pPr>
              <w:keepNext/>
              <w:keepLines/>
              <w:spacing w:after="0" w:line="240" w:lineRule="auto"/>
            </w:pPr>
            <w:r>
              <w:rPr>
                <w:sz w:val="18"/>
              </w:rPr>
              <w:t>V010</w:t>
            </w:r>
          </w:p>
        </w:tc>
        <w:tc>
          <w:tcPr>
            <w:tcW w:w="1860" w:type="dxa"/>
            <w:tcMar>
              <w:top w:w="0" w:type="dxa"/>
              <w:bottom w:w="0" w:type="dxa"/>
            </w:tcMar>
            <w:vAlign w:val="center"/>
          </w:tcPr>
          <w:p w:rsidR="007A2ECE" w:rsidRDefault="00D32F5E">
            <w:pPr>
              <w:keepNext/>
              <w:keepLines/>
              <w:spacing w:after="0" w:line="240" w:lineRule="auto"/>
              <w:jc w:val="right"/>
            </w:pPr>
            <w:r>
              <w:rPr>
                <w:sz w:val="18"/>
              </w:rPr>
              <w:t>1.644,72</w:t>
            </w:r>
          </w:p>
        </w:tc>
        <w:tc>
          <w:tcPr>
            <w:tcW w:w="700" w:type="dxa"/>
            <w:tcMar>
              <w:top w:w="0" w:type="dxa"/>
              <w:bottom w:w="0" w:type="dxa"/>
            </w:tcMar>
            <w:vAlign w:val="center"/>
          </w:tcPr>
          <w:p w:rsidR="007A2ECE" w:rsidRDefault="00D32F5E">
            <w:pPr>
              <w:keepNext/>
              <w:keepLines/>
              <w:spacing w:after="0" w:line="240" w:lineRule="auto"/>
              <w:jc w:val="right"/>
            </w:pPr>
            <w:r>
              <w:rPr>
                <w:sz w:val="18"/>
              </w:rPr>
              <w:t>-</w:t>
            </w:r>
          </w:p>
        </w:tc>
      </w:tr>
    </w:tbl>
    <w:p w:rsidR="007A2ECE" w:rsidRDefault="007A2ECE">
      <w:pPr>
        <w:spacing w:after="0"/>
      </w:pPr>
    </w:p>
    <w:p w:rsidR="007A2ECE" w:rsidRDefault="00D32F5E">
      <w:r>
        <w:t>Stanje nedospjelih međusobnih obveza proračunskih korisnika na dan 31. prosinac 2025. iznosi 1.644,72 EUR. Međusobne obveze proračunskih korisnika tijekom 2025. odnosile su se na: </w:t>
      </w:r>
    </w:p>
    <w:p w:rsidR="007A2ECE" w:rsidRDefault="00D32F5E">
      <w:r>
        <w:t>- računalne usluge (dobavljač Srce - Sveučilišni računski centar Sveučilišt</w:t>
      </w:r>
      <w:r>
        <w:t>a u Zagrebu);  </w:t>
      </w:r>
    </w:p>
    <w:p w:rsidR="007A2ECE" w:rsidRDefault="00D32F5E">
      <w:r>
        <w:t xml:space="preserve">- stručno usavršavanje zaposlenika – polaganje državnog ispita (Ministarstvo pravosuđa, uprave i digitalne transformacije), edukacija 5G – raslojavanje mreže (Fakultet elektrotehnike i računarstva) i 9th </w:t>
      </w:r>
      <w:proofErr w:type="spellStart"/>
      <w:r>
        <w:t>Competition</w:t>
      </w:r>
      <w:proofErr w:type="spellEnd"/>
      <w:r>
        <w:t xml:space="preserve"> </w:t>
      </w:r>
      <w:proofErr w:type="spellStart"/>
      <w:r>
        <w:t>law</w:t>
      </w:r>
      <w:proofErr w:type="spellEnd"/>
      <w:r>
        <w:t xml:space="preserve"> </w:t>
      </w:r>
      <w:proofErr w:type="spellStart"/>
      <w:r>
        <w:t>and</w:t>
      </w:r>
      <w:proofErr w:type="spellEnd"/>
      <w:r>
        <w:t xml:space="preserve"> </w:t>
      </w:r>
      <w:proofErr w:type="spellStart"/>
      <w:r>
        <w:t>policy</w:t>
      </w:r>
      <w:proofErr w:type="spellEnd"/>
      <w:r>
        <w:t xml:space="preserve"> </w:t>
      </w:r>
      <w:proofErr w:type="spellStart"/>
      <w:r>
        <w:t>conferenc</w:t>
      </w:r>
      <w:r>
        <w:t>e</w:t>
      </w:r>
      <w:proofErr w:type="spellEnd"/>
      <w:r>
        <w:t xml:space="preserve"> (Ekonomski fakultet Sveučilišta u Zagrebu);</w:t>
      </w:r>
    </w:p>
    <w:p w:rsidR="007A2ECE" w:rsidRDefault="00D32F5E">
      <w:r>
        <w:t>- ulaganje u računalne programe - nadogradnja aplikacije Kalkulator privatnosti (Fakultet elektrotehnike i računarstva); </w:t>
      </w:r>
    </w:p>
    <w:p w:rsidR="007A2ECE" w:rsidRDefault="00D32F5E">
      <w:r>
        <w:t>- intelektualne usluge - projekt Pristupačnost 2025. – razvoj pristupačnog virtualnog AI</w:t>
      </w:r>
      <w:r>
        <w:t xml:space="preserve"> asistenta za korisničku podršku u području elektroničkih komunikacija (Fakultet elektrotehnike i računarstva);</w:t>
      </w:r>
    </w:p>
    <w:p w:rsidR="007A2ECE" w:rsidRDefault="00D32F5E">
      <w:r>
        <w:t>- članarine (Hrvatski zavod za norme);  </w:t>
      </w:r>
    </w:p>
    <w:p w:rsidR="007A2ECE" w:rsidRDefault="00D32F5E">
      <w:r>
        <w:t xml:space="preserve">- pristojbe i naknade - naknada za pravo uporabe </w:t>
      </w:r>
      <w:proofErr w:type="spellStart"/>
      <w:r>
        <w:t>radiofrekvencijskog</w:t>
      </w:r>
      <w:proofErr w:type="spellEnd"/>
      <w:r>
        <w:t xml:space="preserve"> spektra na lokacijama Osijek, </w:t>
      </w:r>
      <w:proofErr w:type="spellStart"/>
      <w:r>
        <w:t>Degm</w:t>
      </w:r>
      <w:r>
        <w:t>an</w:t>
      </w:r>
      <w:proofErr w:type="spellEnd"/>
      <w:r>
        <w:t>, Sljeme i Zrinska gora (Državni proračun RH) – stanje obveza na dan 31. prosinca 2025. iznosi 1.182,72 EUR;</w:t>
      </w:r>
    </w:p>
    <w:p w:rsidR="007A2ECE" w:rsidRDefault="00D32F5E">
      <w:r>
        <w:lastRenderedPageBreak/>
        <w:t xml:space="preserve">- obveze HAKOM-a za povrat pogrešno uplaćenih naknada temeljem izdanih dozvola za uporabu </w:t>
      </w:r>
      <w:proofErr w:type="spellStart"/>
      <w:r>
        <w:t>radiofrekvencijskog</w:t>
      </w:r>
      <w:proofErr w:type="spellEnd"/>
      <w:r>
        <w:t xml:space="preserve"> spektra koje su korisnici greškom u</w:t>
      </w:r>
      <w:r>
        <w:t>mjesto u Državni proračun uplatili na žiro-račun HAKOM-a - stanje obveza na dan 31. prosinca 2025. iznosi 462,00 EUR.</w:t>
      </w:r>
    </w:p>
    <w:p w:rsidR="007A2ECE" w:rsidRDefault="007A2ECE"/>
    <w:p w:rsidR="007A2ECE" w:rsidRDefault="00D32F5E">
      <w:pPr>
        <w:keepNext/>
        <w:spacing w:line="240" w:lineRule="auto"/>
        <w:jc w:val="center"/>
      </w:pPr>
      <w:r>
        <w:rPr>
          <w:sz w:val="28"/>
        </w:rPr>
        <w:t>Bilješka 35.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883"/>
        <w:gridCol w:w="4008"/>
        <w:gridCol w:w="882"/>
        <w:gridCol w:w="2345"/>
        <w:gridCol w:w="882"/>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23</w:t>
            </w:r>
          </w:p>
        </w:tc>
        <w:tc>
          <w:tcPr>
            <w:tcW w:w="3180" w:type="dxa"/>
            <w:tcMar>
              <w:top w:w="0" w:type="dxa"/>
              <w:bottom w:w="0" w:type="dxa"/>
            </w:tcMar>
            <w:vAlign w:val="center"/>
          </w:tcPr>
          <w:p w:rsidR="007A2ECE" w:rsidRDefault="00D32F5E">
            <w:pPr>
              <w:keepNext/>
              <w:keepLines/>
              <w:spacing w:after="0" w:line="240" w:lineRule="auto"/>
            </w:pPr>
            <w:r>
              <w:rPr>
                <w:sz w:val="18"/>
              </w:rPr>
              <w:t>Obveze za rashode poslovanja</w:t>
            </w:r>
          </w:p>
        </w:tc>
        <w:tc>
          <w:tcPr>
            <w:tcW w:w="700" w:type="dxa"/>
            <w:tcMar>
              <w:top w:w="0" w:type="dxa"/>
              <w:bottom w:w="0" w:type="dxa"/>
            </w:tcMar>
            <w:vAlign w:val="center"/>
          </w:tcPr>
          <w:p w:rsidR="007A2ECE" w:rsidRDefault="00D32F5E">
            <w:pPr>
              <w:keepNext/>
              <w:keepLines/>
              <w:spacing w:after="0" w:line="240" w:lineRule="auto"/>
            </w:pPr>
            <w:r>
              <w:rPr>
                <w:sz w:val="18"/>
              </w:rPr>
              <w:t>ND23</w:t>
            </w:r>
          </w:p>
        </w:tc>
        <w:tc>
          <w:tcPr>
            <w:tcW w:w="1860" w:type="dxa"/>
            <w:tcMar>
              <w:top w:w="0" w:type="dxa"/>
              <w:bottom w:w="0" w:type="dxa"/>
            </w:tcMar>
            <w:vAlign w:val="center"/>
          </w:tcPr>
          <w:p w:rsidR="007A2ECE" w:rsidRDefault="00D32F5E">
            <w:pPr>
              <w:keepNext/>
              <w:keepLines/>
              <w:spacing w:after="0" w:line="240" w:lineRule="auto"/>
              <w:jc w:val="right"/>
            </w:pPr>
            <w:r>
              <w:rPr>
                <w:sz w:val="18"/>
              </w:rPr>
              <w:t>1.120.018,50</w:t>
            </w:r>
          </w:p>
        </w:tc>
        <w:tc>
          <w:tcPr>
            <w:tcW w:w="700" w:type="dxa"/>
            <w:tcMar>
              <w:top w:w="0" w:type="dxa"/>
              <w:bottom w:w="0" w:type="dxa"/>
            </w:tcMar>
            <w:vAlign w:val="center"/>
          </w:tcPr>
          <w:p w:rsidR="007A2ECE" w:rsidRDefault="00D32F5E">
            <w:pPr>
              <w:keepNext/>
              <w:keepLines/>
              <w:spacing w:after="0" w:line="240" w:lineRule="auto"/>
              <w:jc w:val="right"/>
            </w:pPr>
            <w:r>
              <w:rPr>
                <w:sz w:val="18"/>
              </w:rPr>
              <w:t>-</w:t>
            </w:r>
          </w:p>
        </w:tc>
      </w:tr>
    </w:tbl>
    <w:p w:rsidR="007A2ECE" w:rsidRDefault="007A2ECE">
      <w:pPr>
        <w:spacing w:after="0"/>
      </w:pPr>
    </w:p>
    <w:p w:rsidR="007A2ECE" w:rsidRDefault="00D32F5E">
      <w:r>
        <w:t>Ukupne nedospjele obveze u iznosu od 1.241.075,36 EUR se najvećim dijelom odnose na obveze za rashode poslovanja (1.120.018,50 EUR), i to na obvezu za isplatu plaće za prosinac 2025., te su podmirene do sastavljanja Bilješki uz financijske izvještaje.</w:t>
      </w:r>
    </w:p>
    <w:p w:rsidR="007A2ECE" w:rsidRDefault="007A2ECE"/>
    <w:p w:rsidR="007A2ECE" w:rsidRDefault="00D32F5E">
      <w:pPr>
        <w:keepNext/>
        <w:spacing w:line="240" w:lineRule="auto"/>
        <w:jc w:val="center"/>
      </w:pPr>
      <w:r>
        <w:rPr>
          <w:sz w:val="28"/>
        </w:rPr>
        <w:t>Bil</w:t>
      </w:r>
      <w:r>
        <w:rPr>
          <w:sz w:val="28"/>
        </w:rPr>
        <w:t>ješka 36.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883"/>
        <w:gridCol w:w="4008"/>
        <w:gridCol w:w="882"/>
        <w:gridCol w:w="2345"/>
        <w:gridCol w:w="882"/>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24</w:t>
            </w:r>
          </w:p>
        </w:tc>
        <w:tc>
          <w:tcPr>
            <w:tcW w:w="3180" w:type="dxa"/>
            <w:tcMar>
              <w:top w:w="0" w:type="dxa"/>
              <w:bottom w:w="0" w:type="dxa"/>
            </w:tcMar>
            <w:vAlign w:val="center"/>
          </w:tcPr>
          <w:p w:rsidR="007A2ECE" w:rsidRDefault="00D32F5E">
            <w:pPr>
              <w:keepNext/>
              <w:keepLines/>
              <w:spacing w:after="0" w:line="240" w:lineRule="auto"/>
            </w:pPr>
            <w:r>
              <w:rPr>
                <w:sz w:val="18"/>
              </w:rPr>
              <w:t>Obveze za nabavu nefinancijske imovine</w:t>
            </w:r>
          </w:p>
        </w:tc>
        <w:tc>
          <w:tcPr>
            <w:tcW w:w="700" w:type="dxa"/>
            <w:tcMar>
              <w:top w:w="0" w:type="dxa"/>
              <w:bottom w:w="0" w:type="dxa"/>
            </w:tcMar>
            <w:vAlign w:val="center"/>
          </w:tcPr>
          <w:p w:rsidR="007A2ECE" w:rsidRDefault="00D32F5E">
            <w:pPr>
              <w:keepNext/>
              <w:keepLines/>
              <w:spacing w:after="0" w:line="240" w:lineRule="auto"/>
            </w:pPr>
            <w:r>
              <w:rPr>
                <w:sz w:val="18"/>
              </w:rPr>
              <w:t>ND24</w:t>
            </w:r>
          </w:p>
        </w:tc>
        <w:tc>
          <w:tcPr>
            <w:tcW w:w="1860" w:type="dxa"/>
            <w:tcMar>
              <w:top w:w="0" w:type="dxa"/>
              <w:bottom w:w="0" w:type="dxa"/>
            </w:tcMar>
            <w:vAlign w:val="center"/>
          </w:tcPr>
          <w:p w:rsidR="007A2ECE" w:rsidRDefault="00D32F5E">
            <w:pPr>
              <w:keepNext/>
              <w:keepLines/>
              <w:spacing w:after="0" w:line="240" w:lineRule="auto"/>
              <w:jc w:val="right"/>
            </w:pPr>
            <w:r>
              <w:rPr>
                <w:sz w:val="18"/>
              </w:rPr>
              <w:t>0,00</w:t>
            </w:r>
          </w:p>
        </w:tc>
        <w:tc>
          <w:tcPr>
            <w:tcW w:w="700" w:type="dxa"/>
            <w:tcMar>
              <w:top w:w="0" w:type="dxa"/>
              <w:bottom w:w="0" w:type="dxa"/>
            </w:tcMar>
            <w:vAlign w:val="center"/>
          </w:tcPr>
          <w:p w:rsidR="007A2ECE" w:rsidRDefault="00D32F5E">
            <w:pPr>
              <w:keepNext/>
              <w:keepLines/>
              <w:spacing w:after="0" w:line="240" w:lineRule="auto"/>
              <w:jc w:val="right"/>
            </w:pPr>
            <w:r>
              <w:rPr>
                <w:sz w:val="18"/>
              </w:rPr>
              <w:t>-</w:t>
            </w:r>
          </w:p>
        </w:tc>
      </w:tr>
    </w:tbl>
    <w:p w:rsidR="007A2ECE" w:rsidRDefault="007A2ECE">
      <w:pPr>
        <w:spacing w:after="0"/>
      </w:pPr>
    </w:p>
    <w:p w:rsidR="007A2ECE" w:rsidRDefault="00D32F5E">
      <w:r>
        <w:t>Obveze za nabavu nefinancijske imovine nisu evidentirane sa stanjem na dan 31. prosinca 2025.</w:t>
      </w:r>
    </w:p>
    <w:p w:rsidR="007A2ECE" w:rsidRDefault="007A2ECE"/>
    <w:p w:rsidR="007A2ECE" w:rsidRDefault="00D32F5E">
      <w:pPr>
        <w:keepNext/>
        <w:spacing w:line="240" w:lineRule="auto"/>
        <w:jc w:val="center"/>
      </w:pPr>
      <w:r>
        <w:rPr>
          <w:sz w:val="28"/>
        </w:rPr>
        <w:t>Bilješka 37.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883"/>
        <w:gridCol w:w="4008"/>
        <w:gridCol w:w="882"/>
        <w:gridCol w:w="2345"/>
        <w:gridCol w:w="882"/>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Opis </w:t>
            </w:r>
            <w:r>
              <w:rPr>
                <w:b/>
                <w:sz w:val="18"/>
              </w:rPr>
              <w:t>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dio 25,26</w:t>
            </w:r>
          </w:p>
        </w:tc>
        <w:tc>
          <w:tcPr>
            <w:tcW w:w="3180" w:type="dxa"/>
            <w:tcMar>
              <w:top w:w="0" w:type="dxa"/>
              <w:bottom w:w="0" w:type="dxa"/>
            </w:tcMar>
            <w:vAlign w:val="center"/>
          </w:tcPr>
          <w:p w:rsidR="007A2ECE" w:rsidRDefault="00D32F5E">
            <w:pPr>
              <w:keepNext/>
              <w:keepLines/>
              <w:spacing w:after="0" w:line="240" w:lineRule="auto"/>
            </w:pPr>
            <w:r>
              <w:rPr>
                <w:sz w:val="18"/>
              </w:rPr>
              <w:t>Obveze za financijsku imovinu</w:t>
            </w:r>
          </w:p>
        </w:tc>
        <w:tc>
          <w:tcPr>
            <w:tcW w:w="700" w:type="dxa"/>
            <w:tcMar>
              <w:top w:w="0" w:type="dxa"/>
              <w:bottom w:w="0" w:type="dxa"/>
            </w:tcMar>
            <w:vAlign w:val="center"/>
          </w:tcPr>
          <w:p w:rsidR="007A2ECE" w:rsidRDefault="00D32F5E">
            <w:pPr>
              <w:keepNext/>
              <w:keepLines/>
              <w:spacing w:after="0" w:line="240" w:lineRule="auto"/>
            </w:pPr>
            <w:r>
              <w:rPr>
                <w:sz w:val="18"/>
              </w:rPr>
              <w:t>ND dio 25,26</w:t>
            </w:r>
          </w:p>
        </w:tc>
        <w:tc>
          <w:tcPr>
            <w:tcW w:w="1860" w:type="dxa"/>
            <w:tcMar>
              <w:top w:w="0" w:type="dxa"/>
              <w:bottom w:w="0" w:type="dxa"/>
            </w:tcMar>
            <w:vAlign w:val="center"/>
          </w:tcPr>
          <w:p w:rsidR="007A2ECE" w:rsidRDefault="00D32F5E">
            <w:pPr>
              <w:keepNext/>
              <w:keepLines/>
              <w:spacing w:after="0" w:line="240" w:lineRule="auto"/>
              <w:jc w:val="right"/>
            </w:pPr>
            <w:r>
              <w:rPr>
                <w:sz w:val="18"/>
              </w:rPr>
              <w:t>0,00</w:t>
            </w:r>
          </w:p>
        </w:tc>
        <w:tc>
          <w:tcPr>
            <w:tcW w:w="700" w:type="dxa"/>
            <w:tcMar>
              <w:top w:w="0" w:type="dxa"/>
              <w:bottom w:w="0" w:type="dxa"/>
            </w:tcMar>
            <w:vAlign w:val="center"/>
          </w:tcPr>
          <w:p w:rsidR="007A2ECE" w:rsidRDefault="00D32F5E">
            <w:pPr>
              <w:keepNext/>
              <w:keepLines/>
              <w:spacing w:after="0" w:line="240" w:lineRule="auto"/>
              <w:jc w:val="right"/>
            </w:pPr>
            <w:r>
              <w:rPr>
                <w:sz w:val="18"/>
              </w:rPr>
              <w:t>-</w:t>
            </w:r>
          </w:p>
        </w:tc>
      </w:tr>
    </w:tbl>
    <w:p w:rsidR="007A2ECE" w:rsidRDefault="007A2ECE">
      <w:pPr>
        <w:spacing w:after="0"/>
      </w:pPr>
    </w:p>
    <w:p w:rsidR="007A2ECE" w:rsidRDefault="00D32F5E">
      <w:r>
        <w:t>Obveze za financijsku imovinu nisu evidentirane sa stanjem na dan 31. prosinca 2025.</w:t>
      </w:r>
    </w:p>
    <w:p w:rsidR="007A2ECE" w:rsidRDefault="007A2ECE"/>
    <w:p w:rsidR="007A2ECE" w:rsidRDefault="00D32F5E">
      <w:pPr>
        <w:keepNext/>
        <w:spacing w:line="240" w:lineRule="auto"/>
        <w:jc w:val="center"/>
      </w:pPr>
      <w:r>
        <w:rPr>
          <w:sz w:val="28"/>
        </w:rPr>
        <w:t>Bilješka 38.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883"/>
        <w:gridCol w:w="4008"/>
        <w:gridCol w:w="882"/>
        <w:gridCol w:w="2345"/>
        <w:gridCol w:w="882"/>
      </w:tblGrid>
      <w:tr w:rsidR="007A2ECE">
        <w:tblPrEx>
          <w:tblCellMar>
            <w:top w:w="0" w:type="dxa"/>
            <w:bottom w:w="0" w:type="dxa"/>
          </w:tblCellMar>
        </w:tblPrEx>
        <w:trPr>
          <w:cantSplit/>
        </w:trPr>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rsidR="007A2ECE" w:rsidRDefault="00D32F5E">
            <w:pPr>
              <w:keepNext/>
              <w:keepLines/>
              <w:spacing w:after="0" w:line="240" w:lineRule="auto"/>
              <w:jc w:val="center"/>
            </w:pPr>
            <w:r>
              <w:rPr>
                <w:b/>
                <w:sz w:val="18"/>
              </w:rPr>
              <w:t>Indeks (%)</w:t>
            </w:r>
          </w:p>
        </w:tc>
      </w:tr>
      <w:tr w:rsidR="007A2ECE">
        <w:tblPrEx>
          <w:tblCellMar>
            <w:top w:w="0" w:type="dxa"/>
            <w:bottom w:w="0" w:type="dxa"/>
          </w:tblCellMar>
        </w:tblPrEx>
        <w:trPr>
          <w:cantSplit/>
          <w:trHeight w:val="560"/>
        </w:trPr>
        <w:tc>
          <w:tcPr>
            <w:tcW w:w="700" w:type="dxa"/>
            <w:tcMar>
              <w:top w:w="0" w:type="dxa"/>
              <w:bottom w:w="0" w:type="dxa"/>
            </w:tcMar>
            <w:vAlign w:val="center"/>
          </w:tcPr>
          <w:p w:rsidR="007A2ECE" w:rsidRDefault="00D32F5E">
            <w:pPr>
              <w:keepNext/>
              <w:keepLines/>
              <w:spacing w:after="0" w:line="240" w:lineRule="auto"/>
            </w:pPr>
            <w:r>
              <w:rPr>
                <w:sz w:val="18"/>
              </w:rPr>
              <w:t>27</w:t>
            </w:r>
          </w:p>
        </w:tc>
        <w:tc>
          <w:tcPr>
            <w:tcW w:w="3180" w:type="dxa"/>
            <w:tcMar>
              <w:top w:w="0" w:type="dxa"/>
              <w:bottom w:w="0" w:type="dxa"/>
            </w:tcMar>
            <w:vAlign w:val="center"/>
          </w:tcPr>
          <w:p w:rsidR="007A2ECE" w:rsidRDefault="00D32F5E">
            <w:pPr>
              <w:keepNext/>
              <w:keepLines/>
              <w:spacing w:after="0" w:line="240" w:lineRule="auto"/>
            </w:pPr>
            <w:r>
              <w:rPr>
                <w:sz w:val="18"/>
              </w:rPr>
              <w:t xml:space="preserve">Obveze za predujmove, depozite, </w:t>
            </w:r>
            <w:proofErr w:type="spellStart"/>
            <w:r>
              <w:rPr>
                <w:sz w:val="18"/>
              </w:rPr>
              <w:t>jamčevne</w:t>
            </w:r>
            <w:proofErr w:type="spellEnd"/>
            <w:r>
              <w:rPr>
                <w:sz w:val="18"/>
              </w:rPr>
              <w:t xml:space="preserve"> </w:t>
            </w:r>
            <w:proofErr w:type="spellStart"/>
            <w:r>
              <w:rPr>
                <w:sz w:val="18"/>
              </w:rPr>
              <w:t>pologe</w:t>
            </w:r>
            <w:proofErr w:type="spellEnd"/>
            <w:r>
              <w:rPr>
                <w:sz w:val="18"/>
              </w:rPr>
              <w:t xml:space="preserve"> i tuđe prihode</w:t>
            </w:r>
          </w:p>
        </w:tc>
        <w:tc>
          <w:tcPr>
            <w:tcW w:w="700" w:type="dxa"/>
            <w:tcMar>
              <w:top w:w="0" w:type="dxa"/>
              <w:bottom w:w="0" w:type="dxa"/>
            </w:tcMar>
            <w:vAlign w:val="center"/>
          </w:tcPr>
          <w:p w:rsidR="007A2ECE" w:rsidRDefault="00D32F5E">
            <w:pPr>
              <w:keepNext/>
              <w:keepLines/>
              <w:spacing w:after="0" w:line="240" w:lineRule="auto"/>
            </w:pPr>
            <w:r>
              <w:rPr>
                <w:sz w:val="18"/>
              </w:rPr>
              <w:t>ND27</w:t>
            </w:r>
          </w:p>
        </w:tc>
        <w:tc>
          <w:tcPr>
            <w:tcW w:w="1860" w:type="dxa"/>
            <w:tcMar>
              <w:top w:w="0" w:type="dxa"/>
              <w:bottom w:w="0" w:type="dxa"/>
            </w:tcMar>
            <w:vAlign w:val="center"/>
          </w:tcPr>
          <w:p w:rsidR="007A2ECE" w:rsidRDefault="00D32F5E">
            <w:pPr>
              <w:keepNext/>
              <w:keepLines/>
              <w:spacing w:after="0" w:line="240" w:lineRule="auto"/>
              <w:jc w:val="right"/>
            </w:pPr>
            <w:r>
              <w:rPr>
                <w:sz w:val="18"/>
              </w:rPr>
              <w:t>119.412,14</w:t>
            </w:r>
          </w:p>
        </w:tc>
        <w:tc>
          <w:tcPr>
            <w:tcW w:w="700" w:type="dxa"/>
            <w:tcMar>
              <w:top w:w="0" w:type="dxa"/>
              <w:bottom w:w="0" w:type="dxa"/>
            </w:tcMar>
            <w:vAlign w:val="center"/>
          </w:tcPr>
          <w:p w:rsidR="007A2ECE" w:rsidRDefault="00D32F5E">
            <w:pPr>
              <w:keepNext/>
              <w:keepLines/>
              <w:spacing w:after="0" w:line="240" w:lineRule="auto"/>
              <w:jc w:val="right"/>
            </w:pPr>
            <w:r>
              <w:rPr>
                <w:sz w:val="18"/>
              </w:rPr>
              <w:t>-</w:t>
            </w:r>
          </w:p>
        </w:tc>
      </w:tr>
    </w:tbl>
    <w:p w:rsidR="007A2ECE" w:rsidRDefault="007A2ECE">
      <w:pPr>
        <w:spacing w:after="0"/>
      </w:pPr>
    </w:p>
    <w:p w:rsidR="007A2ECE" w:rsidRDefault="00D32F5E">
      <w:r>
        <w:t xml:space="preserve">Obveze za predujmove, depozite, </w:t>
      </w:r>
      <w:proofErr w:type="spellStart"/>
      <w:r>
        <w:t>jamčevne</w:t>
      </w:r>
      <w:proofErr w:type="spellEnd"/>
      <w:r>
        <w:t xml:space="preserve"> </w:t>
      </w:r>
      <w:proofErr w:type="spellStart"/>
      <w:r>
        <w:t>pologe</w:t>
      </w:r>
      <w:proofErr w:type="spellEnd"/>
      <w:r>
        <w:t xml:space="preserve"> i tuđe prihode iznose 119.412,14 EUR te se odnose na obveze za predujmove od kupaca i obveze za </w:t>
      </w:r>
      <w:proofErr w:type="spellStart"/>
      <w:r>
        <w:t>jamčevne</w:t>
      </w:r>
      <w:proofErr w:type="spellEnd"/>
      <w:r>
        <w:t xml:space="preserve"> </w:t>
      </w:r>
      <w:proofErr w:type="spellStart"/>
      <w:r>
        <w:t>pologe</w:t>
      </w:r>
      <w:proofErr w:type="spellEnd"/>
      <w:r>
        <w:t xml:space="preserve"> primljene od dobavljača za uredno izvršenje ugovornih obveza i za ozbiljnost ponude. </w:t>
      </w:r>
    </w:p>
    <w:p w:rsidR="007A2ECE" w:rsidRDefault="007A2ECE"/>
    <w:p w:rsidR="007A2ECE" w:rsidRDefault="00D32F5E">
      <w:pPr>
        <w:keepNext/>
        <w:spacing w:line="240" w:lineRule="auto"/>
        <w:jc w:val="center"/>
      </w:pPr>
      <w:r>
        <w:rPr>
          <w:sz w:val="28"/>
        </w:rPr>
        <w:t>Bilješka 39.</w:t>
      </w:r>
    </w:p>
    <w:p w:rsidR="007A2ECE" w:rsidRDefault="00D32F5E">
      <w:pPr>
        <w:spacing w:line="240" w:lineRule="auto"/>
        <w:jc w:val="both"/>
      </w:pPr>
      <w:r>
        <w:rPr>
          <w:b/>
        </w:rPr>
        <w:t>EU izvještaj</w:t>
      </w:r>
    </w:p>
    <w:p w:rsidR="007A2ECE" w:rsidRDefault="00D32F5E">
      <w:r>
        <w:rPr>
          <w:b/>
        </w:rPr>
        <w:t>Tekuće pomoći od institucija i tijela EU (6323)</w:t>
      </w:r>
    </w:p>
    <w:p w:rsidR="007A2ECE" w:rsidRDefault="00D32F5E">
      <w:r>
        <w:t>U 2025. prihodi od tekućih pomoći od institucija i tijela EU (6323) ostvareni su u iznosu od 42.540,26 EUR.       </w:t>
      </w:r>
    </w:p>
    <w:p w:rsidR="007A2ECE" w:rsidRDefault="00D32F5E">
      <w:r>
        <w:t>Od ukupnog iznosa pomoći od EU evidentiranog u 2025., iznos od 21.8</w:t>
      </w:r>
      <w:r>
        <w:t>23,08 EUR se odnosi na refundaciju troškova službenih putovanja od BEREC-a (Tijelo europskih regulatora za elektroničke komunikacije), a 20.717,18 EUR od ostalih institucija i tijela EU (DSA, ERGP, RSPG, RSC, PDC i dr.) za sudjelovanje na sastancima radnih</w:t>
      </w:r>
      <w:r>
        <w:t xml:space="preserve"> skupina, plenarnim sjednicama, forumima i radionicama. HAKOM-ovi stručnjaci su sudjelovali na 65 sastanaka koji su se odnosili na područja elektroničkih komunikacija te poštanskih i željezničkih usluga. </w:t>
      </w:r>
      <w:r>
        <w:br/>
        <w:t> </w:t>
      </w:r>
    </w:p>
    <w:p w:rsidR="007A2ECE" w:rsidRDefault="00D32F5E">
      <w:r>
        <w:rPr>
          <w:b/>
        </w:rPr>
        <w:t>Službena putovanja (3211)</w:t>
      </w:r>
    </w:p>
    <w:p w:rsidR="007A2ECE" w:rsidRDefault="00D32F5E">
      <w:r>
        <w:t>Utrošena sredstva se od</w:t>
      </w:r>
      <w:r>
        <w:t>nose na službena putovanja pri čemu najveći dio čine naknade za prijevoz i smještaj na službenom putu u inozemstvu.</w:t>
      </w:r>
      <w:r>
        <w:br/>
        <w:t> </w:t>
      </w:r>
    </w:p>
    <w:p w:rsidR="007A2ECE" w:rsidRDefault="00D32F5E">
      <w:r>
        <w:rPr>
          <w:b/>
        </w:rPr>
        <w:t>Potraživanja za tekuće pomoći od institucija i tijela EU (16323)</w:t>
      </w:r>
    </w:p>
    <w:p w:rsidR="007A2ECE" w:rsidRDefault="00D32F5E">
      <w:r>
        <w:t>Potraživanja za tekuće pomoći od institucija i tijela EU su na dan 31. pr</w:t>
      </w:r>
      <w:r>
        <w:t>osinca 2025. evidentirana u iznosu od 3.993,69 EUR. </w:t>
      </w:r>
    </w:p>
    <w:p w:rsidR="007A2ECE" w:rsidRDefault="00D32F5E">
      <w:r>
        <w:t xml:space="preserve">U studenome i prosincu 2025. je održano osam sastanaka na kojima su sudjelovali stručnjaci HAKOM-a, a za koje su podneseni zahtjevi za refundaciju troškova službenih putovanja. Isti čine potraživanje za </w:t>
      </w:r>
      <w:r>
        <w:t>tekuće pomoći od institucija i tijela EU na dan 31. prosinca 2025. Potraživanja su naplaćena u siječnju 2026.</w:t>
      </w:r>
      <w:r>
        <w:br/>
        <w:t> </w:t>
      </w:r>
    </w:p>
    <w:p w:rsidR="007A2ECE" w:rsidRDefault="00D32F5E">
      <w:r>
        <w:rPr>
          <w:b/>
        </w:rPr>
        <w:t>Tekuće pomoći od institucija i tijela EU (96323)</w:t>
      </w:r>
    </w:p>
    <w:p w:rsidR="007A2ECE" w:rsidRDefault="00D32F5E">
      <w:r>
        <w:t>Obračunati prihodi poslovanja za tekuće pomoći od institucija i tijela EU su na dan 31. prosinc</w:t>
      </w:r>
      <w:r>
        <w:t>a 2025. evidentirani u iznosu od 3.993,69 EUR te odgovaraju iznosu potraživanja za tekuće pomoći od institucija i tijela EU. </w:t>
      </w:r>
    </w:p>
    <w:p w:rsidR="007A2ECE" w:rsidRDefault="00D32F5E">
      <w:r>
        <w:t>Prihod je evidentiran u siječnju 2026. nakon zaprimljenih uplata od strane Europske komisije.</w:t>
      </w:r>
    </w:p>
    <w:p w:rsidR="007A2ECE" w:rsidRDefault="007A2ECE"/>
    <w:sectPr w:rsidR="007A2E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ECE"/>
    <w:rsid w:val="007A2ECE"/>
    <w:rsid w:val="00D32F5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33AC45-DE21-4F27-89DC-A9C95F33E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6074</Words>
  <Characters>34624</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 Hrvoj</dc:creator>
  <cp:lastModifiedBy>Sanja Hrvoj</cp:lastModifiedBy>
  <cp:revision>2</cp:revision>
  <dcterms:created xsi:type="dcterms:W3CDTF">2026-01-30T14:21:00Z</dcterms:created>
  <dcterms:modified xsi:type="dcterms:W3CDTF">2026-01-30T14:21:00Z</dcterms:modified>
</cp:coreProperties>
</file>